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E0" w:rsidRDefault="00844DE0" w:rsidP="00844DE0">
      <w:pPr>
        <w:ind w:firstLine="720"/>
        <w:jc w:val="center"/>
        <w:rPr>
          <w:lang w:val="hr-HR"/>
        </w:rPr>
      </w:pPr>
      <w:r>
        <w:rPr>
          <w:lang w:val="hr-HR"/>
        </w:rPr>
        <w:t>Prijedlog tema za završni rad iz „Osnova ekonomije „</w:t>
      </w:r>
    </w:p>
    <w:p w:rsidR="00844DE0" w:rsidRDefault="00844DE0" w:rsidP="00844DE0">
      <w:pPr>
        <w:ind w:firstLine="720"/>
        <w:jc w:val="center"/>
        <w:rPr>
          <w:lang w:val="hr-HR"/>
        </w:rPr>
      </w:pPr>
    </w:p>
    <w:p w:rsidR="00844DE0" w:rsidRDefault="00844DE0" w:rsidP="00844DE0">
      <w:pPr>
        <w:ind w:firstLine="720"/>
        <w:rPr>
          <w:lang w:val="hr-HR"/>
        </w:rPr>
      </w:pP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Međunarodno kretanje kapitala</w:t>
      </w:r>
    </w:p>
    <w:p w:rsidR="00844DE0" w:rsidRPr="0030232D" w:rsidRDefault="0030232D" w:rsidP="00844DE0">
      <w:pPr>
        <w:pStyle w:val="ListParagraph"/>
        <w:numPr>
          <w:ilvl w:val="0"/>
          <w:numId w:val="1"/>
        </w:numPr>
        <w:rPr>
          <w:color w:val="4472C4" w:themeColor="accent1"/>
          <w:lang w:val="hr-HR"/>
        </w:rPr>
      </w:pPr>
      <w:r w:rsidRPr="0030232D">
        <w:rPr>
          <w:i/>
          <w:color w:val="4472C4" w:themeColor="accent1"/>
          <w:lang w:val="hr-HR"/>
        </w:rPr>
        <w:t>Središnja banka i monetarna politika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Bilanca plaćanja i devizni tečaj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Politika razvoja malih i nedovoljno razvijenih zemalja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Instrumenti fiskalne politike i gospodarski rast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Promjene vrijednosti novca i monetarna politika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Specijalizirane agencije OUNa i međunarodna ekonomija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Značaj stranih direktnih investicija  na gospodarski razvoj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Porezni sustav u Republici Hrvatskoj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Stanovništvo kao činitelj gospodarskog rasta i razvoja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Uloga potrošnje u makroekonomiji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Nadnice i</w:t>
      </w:r>
      <w:r w:rsidR="0030232D">
        <w:rPr>
          <w:lang w:val="hr-HR"/>
        </w:rPr>
        <w:t xml:space="preserve"> </w:t>
      </w:r>
      <w:r>
        <w:rPr>
          <w:lang w:val="hr-HR"/>
        </w:rPr>
        <w:t>tržište rada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Nezaposlenost u Primorsko goranskoj županiji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Međunarodne financijske institucije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Međunarodne ekonomske integracije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Gospodarski razvoj i održivi razvitak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Nezaposlenost i programi poticanja zapošljavanja</w:t>
      </w:r>
      <w:bookmarkStart w:id="0" w:name="_GoBack"/>
      <w:bookmarkEnd w:id="0"/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Devizni tečaj i devizno tržište</w:t>
      </w:r>
    </w:p>
    <w:p w:rsidR="0030232D" w:rsidRPr="0030232D" w:rsidRDefault="0030232D" w:rsidP="0030232D">
      <w:pPr>
        <w:pStyle w:val="ListParagraph"/>
        <w:numPr>
          <w:ilvl w:val="0"/>
          <w:numId w:val="1"/>
        </w:numPr>
        <w:rPr>
          <w:i/>
          <w:color w:val="4472C4" w:themeColor="accent1"/>
          <w:lang w:val="hr-HR"/>
        </w:rPr>
      </w:pPr>
      <w:r w:rsidRPr="0030232D">
        <w:rPr>
          <w:i/>
          <w:color w:val="4472C4" w:themeColor="accent1"/>
          <w:lang w:val="hr-HR"/>
        </w:rPr>
        <w:t>Poslovni ciklusi i mjere gospodarske politike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Ponašanje potrošača u procesu potrošnje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Investicije kao činitelj gospodarskog rasta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Uloga multiplikatora i akceleratora u makroekonomiji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Nobelova nagrada za ekonomiju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Makroekonomska ravnoteža i  promjena ravnoteže</w:t>
      </w:r>
    </w:p>
    <w:p w:rsidR="00844DE0" w:rsidRDefault="00844DE0" w:rsidP="00844D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Zaštita tržišnog natjecanja </w:t>
      </w:r>
    </w:p>
    <w:p w:rsidR="00844DE0" w:rsidRDefault="00844DE0"/>
    <w:sectPr w:rsidR="00844DE0" w:rsidSect="00D75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B3A"/>
    <w:multiLevelType w:val="hybridMultilevel"/>
    <w:tmpl w:val="28B04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635B1"/>
    <w:multiLevelType w:val="hybridMultilevel"/>
    <w:tmpl w:val="177E9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E0"/>
    <w:rsid w:val="0030232D"/>
    <w:rsid w:val="008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71DB"/>
  <w15:chartTrackingRefBased/>
  <w15:docId w15:val="{FB052205-3AFC-46AC-A16A-DEB6E444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E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2017-09-28T16:12:00Z</dcterms:created>
  <dcterms:modified xsi:type="dcterms:W3CDTF">2017-09-28T20:06:00Z</dcterms:modified>
</cp:coreProperties>
</file>