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9074A" w:rsidRPr="003B2F79" w:rsidTr="00F642B8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9074A" w:rsidRPr="003B2F79" w:rsidRDefault="0019074A" w:rsidP="00F642B8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49B8613B" wp14:editId="4176FB7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9074A" w:rsidRPr="003B2F79" w:rsidTr="00F642B8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9074A" w:rsidRPr="003B2F79" w:rsidTr="00F642B8">
        <w:trPr>
          <w:trHeight w:val="371"/>
        </w:trPr>
        <w:tc>
          <w:tcPr>
            <w:tcW w:w="9521" w:type="dxa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19074A" w:rsidRPr="003B2F79" w:rsidTr="00F642B8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9074A" w:rsidRPr="003B2F79" w:rsidTr="00F642B8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9074A" w:rsidRPr="003B2F79" w:rsidTr="00F642B8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9074A" w:rsidRPr="003B2F79" w:rsidTr="00F642B8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52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9074A" w:rsidRPr="003B2F79" w:rsidTr="00F642B8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6. srpnja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16,23</w:t>
            </w:r>
          </w:p>
        </w:tc>
      </w:tr>
      <w:tr w:rsidR="0019074A" w:rsidRPr="003B2F79" w:rsidTr="00F642B8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utorak, 6. srpnja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9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srpnja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19074A" w:rsidRPr="00FD607E" w:rsidTr="00F642B8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9074A" w:rsidRPr="00FD607E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9074A" w:rsidRPr="00FD607E" w:rsidRDefault="0019074A" w:rsidP="00F642B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9074A" w:rsidRPr="00FD607E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Mr.sc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FD607E">
              <w:rPr>
                <w:rFonts w:ascii="Arial" w:hAnsi="Arial" w:cs="Arial"/>
                <w:i/>
              </w:rPr>
              <w:t>dipl.oec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Osnivača</w:t>
            </w: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FD607E">
              <w:rPr>
                <w:rFonts w:ascii="Arial" w:hAnsi="Arial" w:cs="Arial"/>
                <w:i/>
              </w:rPr>
              <w:t>Tonsa</w:t>
            </w:r>
            <w:proofErr w:type="spellEnd"/>
            <w:r w:rsidRPr="00FD607E">
              <w:rPr>
                <w:rFonts w:ascii="Arial" w:hAnsi="Arial" w:cs="Arial"/>
                <w:i/>
              </w:rPr>
              <w:t>, prof., predstavnik Nastavničkog vijeća</w:t>
            </w: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FD607E">
              <w:rPr>
                <w:rFonts w:ascii="Arial" w:hAnsi="Arial" w:cs="Arial"/>
                <w:i/>
              </w:rPr>
              <w:t>Sošić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Skupa radnika</w:t>
            </w: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Radenko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FD607E">
              <w:rPr>
                <w:rFonts w:ascii="Arial" w:hAnsi="Arial" w:cs="Arial"/>
                <w:i/>
              </w:rPr>
              <w:t>Gorjanc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Kapša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Osnivača</w:t>
            </w:r>
          </w:p>
          <w:p w:rsidR="0019074A" w:rsidRPr="00FD607E" w:rsidRDefault="0019074A" w:rsidP="00F642B8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FD607E">
              <w:rPr>
                <w:rFonts w:ascii="Arial" w:hAnsi="Arial" w:cs="Arial"/>
                <w:i/>
              </w:rPr>
              <w:t>Mikašinović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FD607E">
              <w:rPr>
                <w:rFonts w:ascii="Arial" w:hAnsi="Arial" w:cs="Arial"/>
                <w:i/>
              </w:rPr>
              <w:t>mag.oec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Nastavničkog vijeća</w:t>
            </w:r>
          </w:p>
          <w:p w:rsidR="0019074A" w:rsidRPr="00FD607E" w:rsidRDefault="0019074A" w:rsidP="00F642B8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9074A" w:rsidRPr="00FD607E" w:rsidRDefault="0019074A" w:rsidP="0019074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19074A" w:rsidRPr="00FD607E" w:rsidTr="00F642B8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9074A" w:rsidRPr="00FD607E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9074A" w:rsidRPr="00FD607E" w:rsidRDefault="0019074A" w:rsidP="00F642B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19074A" w:rsidRPr="00FD607E" w:rsidRDefault="0019074A" w:rsidP="00F642B8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Kristina Kalinić, predstavnik Vijeća roditelja </w:t>
            </w:r>
          </w:p>
          <w:p w:rsidR="0019074A" w:rsidRPr="00FD607E" w:rsidRDefault="0019074A" w:rsidP="00F642B8">
            <w:pPr>
              <w:pStyle w:val="Bezproreda"/>
              <w:ind w:left="360"/>
              <w:jc w:val="both"/>
              <w:rPr>
                <w:rFonts w:ascii="Arial" w:hAnsi="Arial" w:cs="Arial"/>
                <w:i/>
              </w:rPr>
            </w:pPr>
          </w:p>
        </w:tc>
      </w:tr>
      <w:tr w:rsidR="0019074A" w:rsidRPr="003B2F79" w:rsidTr="00F642B8">
        <w:trPr>
          <w:trHeight w:val="1099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9074A" w:rsidRPr="003B2F79" w:rsidRDefault="0019074A" w:rsidP="00F642B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hr-HR"/>
              </w:rPr>
            </w:pPr>
            <w:r w:rsidRPr="00361974">
              <w:rPr>
                <w:rFonts w:ascii="Arial" w:hAnsi="Arial" w:cs="Arial"/>
                <w:i/>
                <w:sz w:val="24"/>
                <w:szCs w:val="24"/>
                <w:lang w:eastAsia="hr-HR"/>
              </w:rPr>
              <w:t>Usvajanje Izmjena Pravilnika o radu</w:t>
            </w:r>
          </w:p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i/>
                <w:sz w:val="24"/>
                <w:szCs w:val="24"/>
                <w:lang w:eastAsia="hr-HR"/>
              </w:rPr>
              <w:t xml:space="preserve">Usvajanje </w:t>
            </w:r>
            <w:r>
              <w:rPr>
                <w:rFonts w:ascii="Arial" w:hAnsi="Arial" w:cs="Arial"/>
                <w:i/>
                <w:sz w:val="24"/>
                <w:szCs w:val="24"/>
              </w:rPr>
              <w:t>Izmjena</w:t>
            </w:r>
            <w:r w:rsidRPr="00361974">
              <w:rPr>
                <w:rFonts w:ascii="Arial" w:hAnsi="Arial" w:cs="Arial"/>
                <w:i/>
                <w:sz w:val="24"/>
                <w:szCs w:val="24"/>
              </w:rPr>
              <w:t xml:space="preserve"> Pravilnika o načinu i postupku zapošljavanja u Ekonomskoj školi Mije Mirkovića Rijeka</w:t>
            </w:r>
          </w:p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i/>
                <w:sz w:val="24"/>
                <w:szCs w:val="24"/>
                <w:lang w:eastAsia="hr-HR"/>
              </w:rPr>
              <w:t>Donošenje odluke po zamolbi radnice</w:t>
            </w:r>
          </w:p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i/>
                <w:sz w:val="24"/>
                <w:szCs w:val="24"/>
              </w:rPr>
              <w:t xml:space="preserve">Prethodna suglasnost za zapošljavanje </w:t>
            </w:r>
          </w:p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bCs/>
                <w:i/>
                <w:color w:val="222222"/>
                <w:sz w:val="24"/>
                <w:szCs w:val="24"/>
                <w:shd w:val="clear" w:color="auto" w:fill="FFFFFF"/>
              </w:rPr>
              <w:t>Usvajanje I. Izmjena i dopuna Financijskog plana za 2020. godinu</w:t>
            </w:r>
          </w:p>
          <w:p w:rsidR="0019074A" w:rsidRPr="00361974" w:rsidRDefault="0019074A" w:rsidP="00F642B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bCs/>
                <w:i/>
                <w:color w:val="222222"/>
                <w:sz w:val="24"/>
                <w:szCs w:val="24"/>
                <w:shd w:val="clear" w:color="auto" w:fill="FFFFFF"/>
              </w:rPr>
              <w:t>Usvajanje Financijskih izvještaja za razdoblje od 1. siječnja do 30. lipnja 2020. godine</w:t>
            </w:r>
          </w:p>
        </w:tc>
      </w:tr>
      <w:tr w:rsidR="0019074A" w:rsidRPr="003B2F79" w:rsidTr="00F642B8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61974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36197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1. 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Usvajanje Izmjena Pravilnika o radu</w:t>
            </w:r>
          </w:p>
        </w:tc>
      </w:tr>
      <w:tr w:rsidR="0019074A" w:rsidRPr="003B2F79" w:rsidTr="00F642B8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19074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Pr="000A464B" w:rsidRDefault="0019074A" w:rsidP="0019074A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19074A" w:rsidRPr="00847F91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19074A" w:rsidRPr="00847F91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847F91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847F91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Usvajaju se I</w:t>
            </w:r>
            <w:r w:rsidRPr="00B23A1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zmjen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e Pravilnika o radu.</w:t>
            </w:r>
            <w:r w:rsidRPr="00B23A1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074A" w:rsidRPr="005331A4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9074A" w:rsidRPr="001A052D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003-06/20-01/25</w:t>
            </w:r>
          </w:p>
          <w:p w:rsidR="0019074A" w:rsidRPr="005331A4" w:rsidRDefault="0019074A" w:rsidP="00F6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26698" w:rsidTr="00F642B8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61974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197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Ad 2. 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 xml:space="preserve">Usvajanje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Izmjena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Pravilnika o načinu i postupku zapošljavanja u Ekonomskoj školi Mije Mirkovića Rijeka</w:t>
            </w:r>
          </w:p>
        </w:tc>
      </w:tr>
      <w:tr w:rsidR="0019074A" w:rsidRPr="003B2F79" w:rsidTr="00F642B8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19074A" w:rsidRPr="000A464B" w:rsidRDefault="0019074A" w:rsidP="0019074A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19074A" w:rsidRPr="00847F91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19074A" w:rsidRPr="00847F91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847F91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847F91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Usvajaju se 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</w:rPr>
              <w:t>Izmjene Pravilnika o načinu i postupku zapošljavanja u Ekonomskoj školi Mije Mirkovića Rijeka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23A16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074A" w:rsidRPr="00A05070" w:rsidRDefault="0019074A" w:rsidP="00F642B8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19074A" w:rsidRPr="001A052D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003-06/20-01/28</w:t>
            </w:r>
          </w:p>
          <w:p w:rsidR="0019074A" w:rsidRPr="008106F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61974" w:rsidTr="00F642B8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8B773A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B773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3. 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Donošenje odluke po zamolbi radnice</w:t>
            </w:r>
          </w:p>
        </w:tc>
      </w:tr>
      <w:tr w:rsidR="0019074A" w:rsidRPr="00567E9B" w:rsidTr="00F642B8">
        <w:trPr>
          <w:trHeight w:val="225"/>
        </w:trPr>
        <w:tc>
          <w:tcPr>
            <w:tcW w:w="9498" w:type="dxa"/>
            <w:gridSpan w:val="6"/>
          </w:tcPr>
          <w:p w:rsidR="0019074A" w:rsidRPr="000A464B" w:rsidRDefault="0019074A" w:rsidP="0019074A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c>
          <w:tcPr>
            <w:tcW w:w="5936" w:type="dxa"/>
            <w:gridSpan w:val="4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19074A" w:rsidRPr="00CA1F85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19074A" w:rsidRPr="00805172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805172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D64AE6" w:rsidRDefault="0019074A" w:rsidP="00F642B8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D64AE6">
              <w:rPr>
                <w:rFonts w:ascii="Arial" w:hAnsi="Arial" w:cs="Arial"/>
                <w:b/>
                <w:i/>
              </w:rPr>
              <w:t xml:space="preserve">Daje se prethodna suglasnost da se </w:t>
            </w:r>
            <w:r>
              <w:rPr>
                <w:rFonts w:ascii="Arial" w:hAnsi="Arial" w:cs="Arial"/>
                <w:b/>
                <w:i/>
              </w:rPr>
              <w:t xml:space="preserve">Vesni </w:t>
            </w:r>
            <w:proofErr w:type="spellStart"/>
            <w:r>
              <w:rPr>
                <w:rFonts w:ascii="Arial" w:hAnsi="Arial" w:cs="Arial"/>
                <w:b/>
                <w:i/>
              </w:rPr>
              <w:t>Udović</w:t>
            </w:r>
            <w:proofErr w:type="spellEnd"/>
            <w:r>
              <w:rPr>
                <w:rFonts w:ascii="Arial" w:hAnsi="Arial" w:cs="Arial"/>
                <w:b/>
                <w:i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</w:rPr>
              <w:t>Mrša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D64AE6">
              <w:rPr>
                <w:rFonts w:ascii="Arial" w:hAnsi="Arial" w:cs="Arial"/>
                <w:b/>
                <w:i/>
              </w:rPr>
              <w:t xml:space="preserve">odobri smanjenje radnog vremena </w:t>
            </w:r>
            <w:r>
              <w:rPr>
                <w:rFonts w:ascii="Arial" w:hAnsi="Arial" w:cs="Arial"/>
                <w:b/>
                <w:i/>
              </w:rPr>
              <w:t xml:space="preserve">za </w:t>
            </w:r>
            <w:r w:rsidRPr="00D64AE6">
              <w:rPr>
                <w:rFonts w:ascii="Arial" w:hAnsi="Arial" w:cs="Arial"/>
                <w:b/>
                <w:i/>
              </w:rPr>
              <w:t>4 sata</w:t>
            </w:r>
            <w:r>
              <w:rPr>
                <w:rFonts w:ascii="Arial" w:hAnsi="Arial" w:cs="Arial"/>
                <w:b/>
                <w:i/>
              </w:rPr>
              <w:t xml:space="preserve"> nastave tjedno </w:t>
            </w:r>
            <w:r w:rsidRPr="00D64AE6">
              <w:rPr>
                <w:rFonts w:ascii="Arial" w:hAnsi="Arial" w:cs="Arial"/>
                <w:b/>
                <w:i/>
              </w:rPr>
              <w:t xml:space="preserve"> u školskoj 20</w:t>
            </w:r>
            <w:r>
              <w:rPr>
                <w:rFonts w:ascii="Arial" w:hAnsi="Arial" w:cs="Arial"/>
                <w:b/>
                <w:i/>
              </w:rPr>
              <w:t>20</w:t>
            </w:r>
            <w:r w:rsidRPr="00D64AE6">
              <w:rPr>
                <w:rFonts w:ascii="Arial" w:hAnsi="Arial" w:cs="Arial"/>
                <w:b/>
                <w:i/>
              </w:rPr>
              <w:t>./202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D64AE6">
              <w:rPr>
                <w:rFonts w:ascii="Arial" w:hAnsi="Arial" w:cs="Arial"/>
                <w:b/>
                <w:i/>
              </w:rPr>
              <w:t xml:space="preserve">. godini </w:t>
            </w:r>
            <w:proofErr w:type="spellStart"/>
            <w:r w:rsidRPr="00D64AE6">
              <w:rPr>
                <w:rFonts w:ascii="Arial" w:hAnsi="Arial" w:cs="Arial"/>
                <w:b/>
                <w:i/>
              </w:rPr>
              <w:t>počev</w:t>
            </w:r>
            <w:proofErr w:type="spellEnd"/>
            <w:r w:rsidRPr="00D64AE6">
              <w:rPr>
                <w:rFonts w:ascii="Arial" w:hAnsi="Arial" w:cs="Arial"/>
                <w:b/>
                <w:i/>
              </w:rPr>
              <w:t xml:space="preserve"> od 1. rujna 20</w:t>
            </w:r>
            <w:r>
              <w:rPr>
                <w:rFonts w:ascii="Arial" w:hAnsi="Arial" w:cs="Arial"/>
                <w:b/>
                <w:i/>
              </w:rPr>
              <w:t>20</w:t>
            </w:r>
            <w:r w:rsidRPr="00D64AE6">
              <w:rPr>
                <w:rFonts w:ascii="Arial" w:hAnsi="Arial" w:cs="Arial"/>
                <w:b/>
                <w:i/>
              </w:rPr>
              <w:t>. godine do 31. kolovoza 202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D64AE6">
              <w:rPr>
                <w:rFonts w:ascii="Arial" w:hAnsi="Arial" w:cs="Arial"/>
                <w:b/>
                <w:i/>
              </w:rPr>
              <w:t>. godine.</w:t>
            </w: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29</w:t>
            </w:r>
          </w:p>
          <w:p w:rsidR="0019074A" w:rsidRPr="008106F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8B773A" w:rsidTr="00F642B8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8B773A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20D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4. </w:t>
            </w:r>
            <w:r w:rsidRPr="0036197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Prethodna suglasnost za zapošljavanje </w:t>
            </w:r>
          </w:p>
        </w:tc>
      </w:tr>
      <w:tr w:rsidR="0019074A" w:rsidRPr="00567E9B" w:rsidTr="00F642B8">
        <w:trPr>
          <w:trHeight w:val="225"/>
        </w:trPr>
        <w:tc>
          <w:tcPr>
            <w:tcW w:w="9498" w:type="dxa"/>
            <w:gridSpan w:val="6"/>
          </w:tcPr>
          <w:p w:rsidR="0019074A" w:rsidRPr="000A464B" w:rsidRDefault="0019074A" w:rsidP="0019074A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c>
          <w:tcPr>
            <w:tcW w:w="5936" w:type="dxa"/>
            <w:gridSpan w:val="4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19074A" w:rsidRPr="00CA1F85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19074A" w:rsidRPr="00805172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805172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EF20DC" w:rsidRDefault="0019074A" w:rsidP="00F642B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187D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Daje se prethodna suglasnost </w:t>
            </w:r>
            <w:r w:rsidRPr="00EF20DC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za zaključenje ugovora o radu s Vandom Igić, </w:t>
            </w:r>
            <w:proofErr w:type="spellStart"/>
            <w:r w:rsidRPr="00EF20D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prof</w:t>
            </w:r>
            <w:proofErr w:type="spellEnd"/>
            <w:r w:rsidRPr="00EF20D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,  na neodređeno nepuno radno vrijeme od 2,</w:t>
            </w:r>
            <w:proofErr w:type="spellStart"/>
            <w:r w:rsidRPr="00EF20D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proofErr w:type="spellEnd"/>
            <w:r w:rsidRPr="00EF20DC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sata dnevno odnosno od 11 sati ukupnog tjednog radnog vremena na radnom mjestu nastavnika Poslovne psihologije primjenom članka 107. stavka 11. Zakona o odgoju i obrazovanju u osnovnoj i srednjoj školi nadopunjavanjem norme. </w:t>
            </w: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30</w:t>
            </w:r>
          </w:p>
          <w:p w:rsidR="0019074A" w:rsidRPr="008106F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8B773A" w:rsidTr="00F642B8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8B773A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5</w:t>
            </w:r>
            <w:r w:rsidRPr="00EF20D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Usvajanje I. Izmjena i dopuna Financijskog plana za 2020. godinu</w:t>
            </w:r>
          </w:p>
        </w:tc>
      </w:tr>
      <w:tr w:rsidR="0019074A" w:rsidRPr="00567E9B" w:rsidTr="0019074A">
        <w:trPr>
          <w:trHeight w:val="381"/>
        </w:trPr>
        <w:tc>
          <w:tcPr>
            <w:tcW w:w="9498" w:type="dxa"/>
            <w:gridSpan w:val="6"/>
          </w:tcPr>
          <w:p w:rsidR="0019074A" w:rsidRPr="00F648D5" w:rsidRDefault="0019074A" w:rsidP="0019074A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c>
          <w:tcPr>
            <w:tcW w:w="5936" w:type="dxa"/>
            <w:gridSpan w:val="4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RPr="003B2F79" w:rsidTr="00F642B8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19074A" w:rsidRPr="00F648D5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F648D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19074A" w:rsidRPr="00F648D5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F648D5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648D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F648D5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E76913" w:rsidRDefault="0019074A" w:rsidP="00F642B8">
            <w:pPr>
              <w:pStyle w:val="Odlomakpopisa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Usvajaju se Financijski izvještaji za razdoblje od 1. siječnja do 30. lipnja 2020. godine, i to:</w:t>
            </w:r>
          </w:p>
          <w:p w:rsidR="0019074A" w:rsidRPr="00F648D5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F648D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prihodima i rashodima, primicima i izdacima za razdoblje od 1. siječnja do 30. lipnja 2020. godine (Obrazac PR-RAS)</w:t>
            </w:r>
          </w:p>
          <w:p w:rsidR="0019074A" w:rsidRPr="00F648D5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F648D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obvezama za razdoblje od 1. siječnja do 30. lipnja 2020. godine (Obrazac Obveze)</w:t>
            </w:r>
          </w:p>
          <w:p w:rsidR="0019074A" w:rsidRPr="00F648D5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F648D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Bilješke uz Financijske izvještaje za razdoblje od 1. siječnja do 30. lipnja 2020. godine </w:t>
            </w:r>
          </w:p>
          <w:p w:rsidR="0019074A" w:rsidRPr="00F648D5" w:rsidRDefault="0019074A" w:rsidP="00F642B8">
            <w:pPr>
              <w:spacing w:after="0"/>
              <w:ind w:left="72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19074A" w:rsidRPr="00F648D5" w:rsidRDefault="0019074A" w:rsidP="00F642B8">
            <w:pPr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F648D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     </w:t>
            </w:r>
            <w:r w:rsidRPr="00F648D5">
              <w:rPr>
                <w:rFonts w:ascii="Arial" w:hAnsi="Arial" w:cs="Arial"/>
                <w:b/>
                <w:i/>
                <w:sz w:val="24"/>
                <w:szCs w:val="24"/>
              </w:rPr>
              <w:t>2.   Ova Odluka stupa na snagu danom donošenja.</w:t>
            </w: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19074A" w:rsidRPr="00805172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27</w:t>
            </w:r>
          </w:p>
          <w:p w:rsidR="0019074A" w:rsidRPr="008106F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Tr="00F642B8">
        <w:tc>
          <w:tcPr>
            <w:tcW w:w="949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9074A" w:rsidRDefault="0019074A" w:rsidP="00F642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6. Usvajanje Financijskih izvještaja za razdoblje od 1. siječnja do 30. lipnja 2020. godine </w:t>
            </w:r>
          </w:p>
        </w:tc>
      </w:tr>
      <w:tr w:rsidR="0019074A" w:rsidTr="00F642B8">
        <w:trPr>
          <w:trHeight w:val="225"/>
        </w:trPr>
        <w:tc>
          <w:tcPr>
            <w:tcW w:w="949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9074A" w:rsidRPr="0019074A" w:rsidRDefault="0019074A" w:rsidP="001907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19074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9074A" w:rsidTr="00F642B8"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9074A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9074A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9074A" w:rsidTr="00F642B8">
        <w:trPr>
          <w:trHeight w:val="1142"/>
        </w:trPr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074A" w:rsidRPr="00E76913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E769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19074A" w:rsidRPr="00E76913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E76913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E7691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9074A" w:rsidRPr="00E76913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9074A" w:rsidRPr="00E76913" w:rsidRDefault="0019074A" w:rsidP="00F642B8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Usvajaju se Financijski izvještaji za razdoblje od 1. siječnja do 30. lipnja 2020. godine, i to:</w:t>
            </w:r>
          </w:p>
          <w:p w:rsidR="0019074A" w:rsidRPr="00E76913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prihodima i rashodima, primicima i izdacima za razdoblje od 1. siječnja do 30. lipnja 2020. godine (Obrazac PR-RAS)</w:t>
            </w:r>
          </w:p>
          <w:p w:rsidR="0019074A" w:rsidRPr="00E76913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obvezama za razdoblje od 1. siječnja do 30. lipnja 2020. godine (Obrazac Obveze)</w:t>
            </w:r>
          </w:p>
          <w:p w:rsidR="0019074A" w:rsidRPr="00E76913" w:rsidRDefault="0019074A" w:rsidP="00F642B8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Bilješke uz Financijske izvještaje za razdoblje od 1. siječnja do 30. lipnja 2020. </w:t>
            </w:r>
            <w:r w:rsidRPr="00E76913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godine.</w:t>
            </w:r>
          </w:p>
          <w:p w:rsidR="0019074A" w:rsidRPr="00E76913" w:rsidRDefault="0019074A" w:rsidP="00F642B8">
            <w:pPr>
              <w:spacing w:after="0"/>
              <w:ind w:left="72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19074A" w:rsidRPr="00E76913" w:rsidRDefault="0019074A" w:rsidP="00F642B8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E76913">
              <w:rPr>
                <w:rFonts w:ascii="Arial" w:hAnsi="Arial" w:cs="Arial"/>
                <w:b/>
                <w:i/>
                <w:sz w:val="24"/>
                <w:szCs w:val="24"/>
              </w:rPr>
              <w:t>2. Ova Odluka stupa na snagu danom donošenja.</w:t>
            </w:r>
          </w:p>
          <w:p w:rsidR="0019074A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19074A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003-06/20-01/26</w:t>
            </w:r>
          </w:p>
          <w:p w:rsidR="0019074A" w:rsidRDefault="0019074A" w:rsidP="00F642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2170-56-03-20-01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74A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19074A" w:rsidRPr="003B2F79" w:rsidTr="00F642B8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9074A" w:rsidRPr="003B2F79" w:rsidTr="00F642B8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9074A" w:rsidRPr="003B2F79" w:rsidTr="00F642B8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19074A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poziv za 52. sjednicu </w:t>
            </w:r>
          </w:p>
          <w:p w:rsidR="0019074A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suglasnosti članova </w:t>
            </w:r>
          </w:p>
          <w:p w:rsidR="0019074A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zamolba radnice od 30.6.2020. godine</w:t>
            </w:r>
          </w:p>
          <w:p w:rsidR="0019074A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za točke dnevnog reda 1.-4.</w:t>
            </w:r>
          </w:p>
          <w:p w:rsidR="0019074A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 materijali za točke 5. i 6. dnevnog reda i prijedlog odluka</w:t>
            </w:r>
          </w:p>
          <w:p w:rsidR="0019074A" w:rsidRPr="00294190" w:rsidRDefault="0019074A" w:rsidP="00F642B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9074A" w:rsidRPr="003B2F79" w:rsidRDefault="0019074A" w:rsidP="0019074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19074A" w:rsidRPr="003B2F79" w:rsidTr="00F642B8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003-06/20-01/31</w:t>
            </w:r>
          </w:p>
        </w:tc>
      </w:tr>
      <w:tr w:rsidR="0019074A" w:rsidRPr="003B2F79" w:rsidTr="00F642B8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9074A" w:rsidRPr="003B2F79" w:rsidRDefault="0019074A" w:rsidP="00F6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19074A" w:rsidRPr="003B2F79" w:rsidRDefault="0019074A" w:rsidP="00F642B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19074A" w:rsidRPr="003B2F79" w:rsidRDefault="0019074A" w:rsidP="0019074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Pr="003B2F79" w:rsidRDefault="0019074A" w:rsidP="0019074A">
      <w:pPr>
        <w:rPr>
          <w:rFonts w:ascii="Arial" w:hAnsi="Arial" w:cs="Arial"/>
          <w:i/>
          <w:sz w:val="24"/>
          <w:szCs w:val="24"/>
        </w:rPr>
      </w:pPr>
    </w:p>
    <w:p w:rsidR="0019074A" w:rsidRDefault="0019074A" w:rsidP="0019074A"/>
    <w:p w:rsidR="0019074A" w:rsidRDefault="0019074A" w:rsidP="0019074A"/>
    <w:p w:rsidR="0019074A" w:rsidRDefault="0019074A" w:rsidP="0019074A"/>
    <w:p w:rsidR="0019074A" w:rsidRDefault="0019074A" w:rsidP="0019074A"/>
    <w:p w:rsidR="0019074A" w:rsidRDefault="0019074A" w:rsidP="0019074A"/>
    <w:p w:rsidR="0019074A" w:rsidRDefault="0019074A" w:rsidP="0019074A"/>
    <w:p w:rsidR="0019074A" w:rsidRDefault="0019074A" w:rsidP="0019074A"/>
    <w:p w:rsidR="0019074A" w:rsidRDefault="0019074A" w:rsidP="0019074A"/>
    <w:p w:rsidR="004E74E1" w:rsidRDefault="004E74E1"/>
    <w:sectPr w:rsidR="004E74E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97"/>
    <w:multiLevelType w:val="hybridMultilevel"/>
    <w:tmpl w:val="632E2FE4"/>
    <w:lvl w:ilvl="0" w:tplc="B582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046C"/>
    <w:multiLevelType w:val="multilevel"/>
    <w:tmpl w:val="8E1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4258C5"/>
    <w:multiLevelType w:val="hybridMultilevel"/>
    <w:tmpl w:val="5AFE40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282C"/>
    <w:multiLevelType w:val="hybridMultilevel"/>
    <w:tmpl w:val="C5887F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1620"/>
    <w:multiLevelType w:val="hybridMultilevel"/>
    <w:tmpl w:val="E27E7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C5B13"/>
    <w:multiLevelType w:val="hybridMultilevel"/>
    <w:tmpl w:val="9FCA71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82385"/>
    <w:multiLevelType w:val="hybridMultilevel"/>
    <w:tmpl w:val="80688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2B78"/>
    <w:multiLevelType w:val="hybridMultilevel"/>
    <w:tmpl w:val="8376C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A5A6E"/>
    <w:multiLevelType w:val="hybridMultilevel"/>
    <w:tmpl w:val="EDBAC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3807"/>
    <w:multiLevelType w:val="multilevel"/>
    <w:tmpl w:val="4DD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802E48"/>
    <w:multiLevelType w:val="hybridMultilevel"/>
    <w:tmpl w:val="957C4E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4A"/>
    <w:rsid w:val="0019074A"/>
    <w:rsid w:val="004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74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907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74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907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2020-07-09T09:57:00Z</dcterms:created>
  <dcterms:modified xsi:type="dcterms:W3CDTF">2020-07-09T10:02:00Z</dcterms:modified>
</cp:coreProperties>
</file>