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7E" w:rsidRPr="00C46B80" w:rsidRDefault="00847C2E" w:rsidP="00B85B3A">
      <w:pPr>
        <w:jc w:val="both"/>
      </w:pPr>
      <w:r w:rsidRPr="00C46B80">
        <w:t>Na temelju članka 34. Zakona o fiskalnoj odgovornosti (Nar. nov., br. 111/18), članka 7. Uredbe o sastavljanju i predaji Izjave o fiskalnoj odgovornosti i izvještaja o primjeni fiskalnih pravila (Nar. nov., br. 95/19) i članka 100. Statuta Ekonomske škole Mije Mirkovića Rijeka, Ravnateljica Škole dana 29. listopada 2019. donosi</w:t>
      </w:r>
    </w:p>
    <w:p w:rsidR="00847C2E" w:rsidRPr="00C46B80" w:rsidRDefault="00847C2E" w:rsidP="00B85B3A">
      <w:pPr>
        <w:jc w:val="both"/>
      </w:pPr>
    </w:p>
    <w:p w:rsidR="00DE46C0" w:rsidRPr="00C46B80" w:rsidRDefault="00DE46C0" w:rsidP="00B85B3A">
      <w:pPr>
        <w:jc w:val="both"/>
      </w:pPr>
    </w:p>
    <w:p w:rsidR="008B535C" w:rsidRPr="00C46B80" w:rsidRDefault="008B535C" w:rsidP="00B85B3A">
      <w:pPr>
        <w:jc w:val="center"/>
        <w:rPr>
          <w:b/>
        </w:rPr>
      </w:pPr>
      <w:r w:rsidRPr="00C46B80">
        <w:rPr>
          <w:b/>
        </w:rPr>
        <w:t xml:space="preserve">PROCEDURU </w:t>
      </w:r>
    </w:p>
    <w:p w:rsidR="00B85B3A" w:rsidRPr="00C46B80" w:rsidRDefault="008B535C" w:rsidP="00B85B3A">
      <w:pPr>
        <w:jc w:val="center"/>
        <w:rPr>
          <w:b/>
        </w:rPr>
      </w:pPr>
      <w:r w:rsidRPr="00C46B80">
        <w:rPr>
          <w:b/>
        </w:rPr>
        <w:t xml:space="preserve">PRAĆENJA I NAPLATE PRIHODA I PRIMITAKA </w:t>
      </w:r>
    </w:p>
    <w:p w:rsidR="00B85B3A" w:rsidRPr="00C46B80" w:rsidRDefault="00B85B3A" w:rsidP="00B85B3A">
      <w:pPr>
        <w:jc w:val="center"/>
        <w:rPr>
          <w:b/>
        </w:rPr>
      </w:pPr>
    </w:p>
    <w:p w:rsidR="00DE46C0" w:rsidRPr="00C46B80" w:rsidRDefault="00DE46C0" w:rsidP="00B85B3A">
      <w:pPr>
        <w:jc w:val="center"/>
        <w:rPr>
          <w:b/>
        </w:rPr>
      </w:pPr>
    </w:p>
    <w:p w:rsidR="00B85B3A" w:rsidRPr="00C46B80" w:rsidRDefault="00B85B3A" w:rsidP="00B85B3A">
      <w:pPr>
        <w:jc w:val="center"/>
      </w:pPr>
      <w:r w:rsidRPr="00C46B80">
        <w:t>Članak 1.</w:t>
      </w:r>
    </w:p>
    <w:p w:rsidR="00B85B3A" w:rsidRPr="00C46B80" w:rsidRDefault="008B535C" w:rsidP="00B85B3A">
      <w:pPr>
        <w:jc w:val="both"/>
      </w:pPr>
      <w:r w:rsidRPr="00C46B80">
        <w:t>Ovom Procedurom</w:t>
      </w:r>
      <w:r w:rsidR="00B85B3A" w:rsidRPr="00C46B80">
        <w:t xml:space="preserve"> utvrđuju </w:t>
      </w:r>
      <w:r w:rsidRPr="00C46B80">
        <w:t>se</w:t>
      </w:r>
      <w:r w:rsidR="00DE46C0" w:rsidRPr="00C46B80">
        <w:t xml:space="preserve"> </w:t>
      </w:r>
      <w:r w:rsidR="00B85B3A" w:rsidRPr="00C46B80">
        <w:t xml:space="preserve">obveze pojedinih službi u </w:t>
      </w:r>
      <w:r w:rsidR="00434652" w:rsidRPr="00C46B80">
        <w:t xml:space="preserve">Ekonomskoj školi Mije Mirkovića Rijeka </w:t>
      </w:r>
      <w:r w:rsidR="00B85B3A" w:rsidRPr="00C46B80">
        <w:t>(u daljnjem tekstu: Škola) te propisuj</w:t>
      </w:r>
      <w:r w:rsidR="00DE46C0" w:rsidRPr="00C46B80">
        <w:t>u</w:t>
      </w:r>
      <w:r w:rsidR="00B85B3A" w:rsidRPr="00C46B80">
        <w:t xml:space="preserve"> način i rokovi praćenja i naplate prihoda i primitaka Škole. </w:t>
      </w:r>
    </w:p>
    <w:p w:rsidR="00B85B3A" w:rsidRPr="00C46B80" w:rsidRDefault="00B85B3A" w:rsidP="00B85B3A">
      <w:pPr>
        <w:jc w:val="both"/>
      </w:pPr>
    </w:p>
    <w:p w:rsidR="00B85B3A" w:rsidRPr="00C46B80" w:rsidRDefault="00B85B3A" w:rsidP="00B85B3A">
      <w:pPr>
        <w:jc w:val="both"/>
      </w:pPr>
      <w:r w:rsidRPr="00C46B80">
        <w:t>Prihodi koje Škola naplaću</w:t>
      </w:r>
      <w:r w:rsidR="00A27556" w:rsidRPr="00C46B80">
        <w:t>je su vlastiti prihodi</w:t>
      </w:r>
      <w:r w:rsidRPr="00C46B80">
        <w:t>.</w:t>
      </w:r>
    </w:p>
    <w:p w:rsidR="00B85B3A" w:rsidRPr="00C46B80" w:rsidRDefault="00B85B3A" w:rsidP="00B85B3A">
      <w:pPr>
        <w:jc w:val="both"/>
      </w:pPr>
    </w:p>
    <w:p w:rsidR="00B85B3A" w:rsidRPr="00C46B80" w:rsidRDefault="00B85B3A" w:rsidP="00B85B3A">
      <w:pPr>
        <w:jc w:val="both"/>
      </w:pPr>
      <w:r w:rsidRPr="00C46B80">
        <w:t>Ako Škola ugovori zakup prostora vrijednosti veće od 20.000,00 kuna godišnje, sa zakupcem dogovara instrument osiguranja plaćanja.</w:t>
      </w:r>
    </w:p>
    <w:p w:rsidR="00B85B3A" w:rsidRPr="00C46B80" w:rsidRDefault="00B85B3A" w:rsidP="00B85B3A">
      <w:pPr>
        <w:jc w:val="both"/>
      </w:pPr>
    </w:p>
    <w:p w:rsidR="00B85B3A" w:rsidRPr="00C46B80" w:rsidRDefault="00B85B3A" w:rsidP="00B85B3A">
      <w:pPr>
        <w:jc w:val="center"/>
      </w:pPr>
      <w:r w:rsidRPr="00C46B80">
        <w:t>Članak 2.</w:t>
      </w:r>
    </w:p>
    <w:p w:rsidR="00B85B3A" w:rsidRPr="00C46B80" w:rsidRDefault="00B85B3A" w:rsidP="00B85B3A">
      <w:pPr>
        <w:jc w:val="both"/>
      </w:pPr>
      <w:r w:rsidRPr="00C46B80">
        <w:t>Procedura iz članka 1. izvodi se po sljedećem postupku, osim ako posebnim propisom nije drukčije određeno:</w:t>
      </w:r>
    </w:p>
    <w:p w:rsidR="00B85B3A" w:rsidRPr="00C46B80" w:rsidRDefault="00B85B3A" w:rsidP="00B85B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478"/>
        <w:gridCol w:w="2384"/>
        <w:gridCol w:w="2296"/>
        <w:gridCol w:w="1446"/>
      </w:tblGrid>
      <w:tr w:rsidR="00C46B80" w:rsidRPr="00C46B80" w:rsidTr="00DE46C0">
        <w:tc>
          <w:tcPr>
            <w:tcW w:w="0" w:type="auto"/>
            <w:vAlign w:val="center"/>
          </w:tcPr>
          <w:p w:rsidR="00B85B3A" w:rsidRPr="00C46B80" w:rsidRDefault="00B85B3A" w:rsidP="00670783">
            <w:r w:rsidRPr="00C46B80">
              <w:t>Red. br.</w:t>
            </w:r>
          </w:p>
        </w:tc>
        <w:tc>
          <w:tcPr>
            <w:tcW w:w="0" w:type="auto"/>
            <w:vAlign w:val="center"/>
          </w:tcPr>
          <w:p w:rsidR="00B85B3A" w:rsidRPr="00C46B80" w:rsidRDefault="00822FE7" w:rsidP="00670783">
            <w:r w:rsidRPr="00C46B80">
              <w:t>Aktivnost</w:t>
            </w:r>
          </w:p>
        </w:tc>
        <w:tc>
          <w:tcPr>
            <w:tcW w:w="0" w:type="auto"/>
            <w:vAlign w:val="center"/>
          </w:tcPr>
          <w:p w:rsidR="00B85B3A" w:rsidRPr="00C46B80" w:rsidRDefault="00822FE7" w:rsidP="00670783">
            <w:r w:rsidRPr="00C46B80">
              <w:t>Odgovornost</w:t>
            </w:r>
          </w:p>
        </w:tc>
        <w:tc>
          <w:tcPr>
            <w:tcW w:w="0" w:type="auto"/>
            <w:vAlign w:val="center"/>
          </w:tcPr>
          <w:p w:rsidR="00B85B3A" w:rsidRPr="00C46B80" w:rsidRDefault="00822FE7" w:rsidP="00670783">
            <w:r w:rsidRPr="00C46B80">
              <w:t>Dokument</w:t>
            </w:r>
          </w:p>
        </w:tc>
        <w:tc>
          <w:tcPr>
            <w:tcW w:w="0" w:type="auto"/>
            <w:vAlign w:val="center"/>
          </w:tcPr>
          <w:p w:rsidR="00B85B3A" w:rsidRPr="00C46B80" w:rsidRDefault="00822FE7" w:rsidP="00670783">
            <w:r w:rsidRPr="00C46B80">
              <w:t>Rok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1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Dostava podataka računovodstvu potrebnih za izdavanje računa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Administracija/</w:t>
            </w:r>
          </w:p>
          <w:p w:rsidR="00B85B3A" w:rsidRPr="00C46B80" w:rsidRDefault="00B85B3A" w:rsidP="00822FE7">
            <w:r w:rsidRPr="00C46B80">
              <w:t>Tajništvo</w:t>
            </w:r>
            <w:r w:rsidR="00A27556" w:rsidRPr="00C46B80">
              <w:t>/Voditeljica obrazovanja odraslih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Ugovor, narudžbenica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Tijekom godine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2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Izdavanje/izrada računa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Računovodstvo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Račun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Tijekom godine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3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Ovjera i potpis računa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Ravnatelj/ica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Račun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Najkasnije 2 dana od izrade računa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4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Slanje izlaznog računa</w:t>
            </w:r>
          </w:p>
        </w:tc>
        <w:tc>
          <w:tcPr>
            <w:tcW w:w="0" w:type="auto"/>
          </w:tcPr>
          <w:p w:rsidR="00B85B3A" w:rsidRPr="00C46B80" w:rsidRDefault="00B65A5C" w:rsidP="00822FE7">
            <w:r w:rsidRPr="00C46B80">
              <w:t>Administracija</w:t>
            </w:r>
          </w:p>
          <w:p w:rsidR="00B85B3A" w:rsidRPr="00C46B80" w:rsidRDefault="00B85B3A" w:rsidP="00822FE7"/>
        </w:tc>
        <w:tc>
          <w:tcPr>
            <w:tcW w:w="0" w:type="auto"/>
          </w:tcPr>
          <w:p w:rsidR="00B85B3A" w:rsidRPr="00C46B80" w:rsidRDefault="00B85B3A" w:rsidP="00822FE7">
            <w:r w:rsidRPr="00C46B80">
              <w:t>Knjiga izlazne pošte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Najkasnije 2 dana nakon ovjere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5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Unos podatak</w:t>
            </w:r>
            <w:r w:rsidR="00E47C06" w:rsidRPr="00C46B80">
              <w:t>a</w:t>
            </w:r>
            <w:r w:rsidRPr="00C46B80">
              <w:t xml:space="preserve"> u sustav (knjiženje izlaznih računa)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Računovodstvo</w:t>
            </w:r>
          </w:p>
        </w:tc>
        <w:tc>
          <w:tcPr>
            <w:tcW w:w="0" w:type="auto"/>
          </w:tcPr>
          <w:p w:rsidR="00B85B3A" w:rsidRPr="00C46B80" w:rsidRDefault="00822FE7" w:rsidP="00822FE7">
            <w:r w:rsidRPr="00C46B80">
              <w:t xml:space="preserve">Knjiga izlaznih računa, </w:t>
            </w:r>
            <w:r w:rsidR="00B85B3A" w:rsidRPr="00C46B80">
              <w:t>Glavna knjiga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Unutar mjeseca na koji se račun odnosi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6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Evidentiranje naplaćenih prihoda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Računovodstvo</w:t>
            </w:r>
          </w:p>
        </w:tc>
        <w:tc>
          <w:tcPr>
            <w:tcW w:w="0" w:type="auto"/>
          </w:tcPr>
          <w:p w:rsidR="00B85B3A" w:rsidRPr="00C46B80" w:rsidRDefault="00822FE7" w:rsidP="00822FE7">
            <w:r w:rsidRPr="00C46B80">
              <w:t xml:space="preserve">Knjiga izlaznih računa, </w:t>
            </w:r>
            <w:r w:rsidR="00B85B3A" w:rsidRPr="00C46B80">
              <w:t>Glavna knjiga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Tjedno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7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Praćenje naplate prihoda (analitika)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Računovodstvo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Izvadak po poslovnom računu/Blagajnički izvještaj-uplatnice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Tjedno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lastRenderedPageBreak/>
              <w:t>8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Utvrđivanje stanja dospjelih i nenaplaćenih potraživanja/prihoda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 xml:space="preserve">Računovodstvo 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Izvod otvorenih stavaka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Mjesečno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9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Upozoravanje i izdavanje opomena i opomena pred tužbu</w:t>
            </w:r>
          </w:p>
        </w:tc>
        <w:tc>
          <w:tcPr>
            <w:tcW w:w="0" w:type="auto"/>
          </w:tcPr>
          <w:p w:rsidR="00B85B3A" w:rsidRPr="00C46B80" w:rsidRDefault="00A27556" w:rsidP="00822FE7">
            <w:r w:rsidRPr="00C46B80">
              <w:t>Voditeljica obrazovanja odraslih/Tajništvo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Opomene i opomene pred tužbu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Tijekom godine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10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Donošenje odluke o prisilnoj naplati potraživanja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Ravnatelj/ica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Odluka o prisilnoj naplati potraživanja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Tijekom godine</w:t>
            </w:r>
          </w:p>
        </w:tc>
      </w:tr>
      <w:tr w:rsidR="00B85B3A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11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Ovrha – prisilna naplata potraživanja u skladu s Ovršnim zakonom</w:t>
            </w:r>
          </w:p>
        </w:tc>
        <w:tc>
          <w:tcPr>
            <w:tcW w:w="0" w:type="auto"/>
          </w:tcPr>
          <w:p w:rsidR="00B85B3A" w:rsidRPr="00C46B80" w:rsidRDefault="00DE46C0" w:rsidP="00822FE7">
            <w:r w:rsidRPr="00C46B80">
              <w:t>T</w:t>
            </w:r>
            <w:r w:rsidR="00B65A5C" w:rsidRPr="00C46B80">
              <w:t>ajništvo/izabrani odvjetnički ured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Ovršni postupak kod javnog bilježnika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 xml:space="preserve">Najkasnije 15 dana nakon donošenja Odluke </w:t>
            </w:r>
          </w:p>
        </w:tc>
      </w:tr>
    </w:tbl>
    <w:p w:rsidR="00B85B3A" w:rsidRPr="00C46B80" w:rsidRDefault="00B85B3A" w:rsidP="00B85B3A">
      <w:pPr>
        <w:jc w:val="both"/>
      </w:pPr>
    </w:p>
    <w:p w:rsidR="00DE46C0" w:rsidRPr="00C46B80" w:rsidRDefault="00DE46C0" w:rsidP="00B85B3A">
      <w:pPr>
        <w:jc w:val="both"/>
      </w:pPr>
    </w:p>
    <w:p w:rsidR="00B85B3A" w:rsidRPr="00C46B80" w:rsidRDefault="00B85B3A" w:rsidP="00DE46C0">
      <w:pPr>
        <w:jc w:val="center"/>
      </w:pPr>
      <w:r w:rsidRPr="00C46B80">
        <w:t>Članak 3.</w:t>
      </w:r>
    </w:p>
    <w:p w:rsidR="00B85B3A" w:rsidRPr="00C46B80" w:rsidRDefault="00B85B3A" w:rsidP="00B85B3A">
      <w:pPr>
        <w:jc w:val="both"/>
      </w:pPr>
      <w:r w:rsidRPr="00C46B80">
        <w:t>Tijekom narednih 30 dana računovodstvo nadzire naplatu prihoda po poslanim opomenama.</w:t>
      </w:r>
    </w:p>
    <w:p w:rsidR="00B85B3A" w:rsidRPr="00C46B80" w:rsidRDefault="00B85B3A" w:rsidP="00B85B3A">
      <w:pPr>
        <w:jc w:val="both"/>
      </w:pPr>
    </w:p>
    <w:p w:rsidR="00B85B3A" w:rsidRPr="00C46B80" w:rsidRDefault="00B85B3A" w:rsidP="00B85B3A">
      <w:pPr>
        <w:jc w:val="center"/>
      </w:pPr>
      <w:r w:rsidRPr="00C46B80">
        <w:t>Članak 4.</w:t>
      </w:r>
    </w:p>
    <w:p w:rsidR="00B85B3A" w:rsidRPr="00C46B80" w:rsidRDefault="00B85B3A" w:rsidP="00B85B3A">
      <w:pPr>
        <w:jc w:val="both"/>
      </w:pPr>
      <w:r w:rsidRPr="00C46B80">
        <w:t>Ako u roku od 30 dana nije plaćen dug za koji je poslana pisana opomena, računovodstvo o tome obavještava ravnatelja/icu koji/koja donosi odluku o prisilnoj naplati potraživanja te se pokreće ovršni postupak kod javnog bilježnika.</w:t>
      </w:r>
    </w:p>
    <w:p w:rsidR="00B85B3A" w:rsidRPr="00C46B80" w:rsidRDefault="00B85B3A" w:rsidP="00B85B3A">
      <w:pPr>
        <w:jc w:val="both"/>
      </w:pPr>
    </w:p>
    <w:p w:rsidR="00B85B3A" w:rsidRPr="00C46B80" w:rsidRDefault="00B85B3A" w:rsidP="00B85B3A">
      <w:pPr>
        <w:jc w:val="both"/>
      </w:pPr>
      <w:r w:rsidRPr="00C46B80">
        <w:t xml:space="preserve">Ovršni postupak se pokreće za dugovanja u visini većoj od </w:t>
      </w:r>
      <w:r w:rsidR="00B65A5C" w:rsidRPr="00C46B80">
        <w:t>1.000</w:t>
      </w:r>
      <w:r w:rsidRPr="00C46B80">
        <w:t>,00 kuna po dužniku.</w:t>
      </w:r>
    </w:p>
    <w:p w:rsidR="00B85B3A" w:rsidRPr="00C46B80" w:rsidRDefault="00B85B3A" w:rsidP="00B85B3A">
      <w:pPr>
        <w:jc w:val="both"/>
      </w:pPr>
    </w:p>
    <w:p w:rsidR="00B85B3A" w:rsidRPr="00C46B80" w:rsidRDefault="00B85B3A" w:rsidP="00B85B3A">
      <w:pPr>
        <w:jc w:val="both"/>
      </w:pPr>
      <w:r w:rsidRPr="00C46B80">
        <w:t>Procedura iz stavka 1. ovoga članka provodi se po sljed</w:t>
      </w:r>
      <w:r w:rsidR="00434652" w:rsidRPr="00C46B80">
        <w:t>e</w:t>
      </w:r>
      <w:r w:rsidRPr="00C46B80">
        <w:t>ćem postupku:</w:t>
      </w:r>
    </w:p>
    <w:p w:rsidR="00DE46C0" w:rsidRPr="00C46B80" w:rsidRDefault="00DE46C0" w:rsidP="00B85B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790"/>
        <w:gridCol w:w="1841"/>
        <w:gridCol w:w="2234"/>
        <w:gridCol w:w="1737"/>
      </w:tblGrid>
      <w:tr w:rsidR="00C46B80" w:rsidRPr="00C46B80" w:rsidTr="00DE46C0">
        <w:tc>
          <w:tcPr>
            <w:tcW w:w="0" w:type="auto"/>
            <w:vAlign w:val="center"/>
          </w:tcPr>
          <w:p w:rsidR="00B85B3A" w:rsidRPr="00C46B80" w:rsidRDefault="00B85B3A" w:rsidP="00670783">
            <w:r w:rsidRPr="00C46B80">
              <w:t>Red. br.</w:t>
            </w:r>
          </w:p>
        </w:tc>
        <w:tc>
          <w:tcPr>
            <w:tcW w:w="0" w:type="auto"/>
            <w:vAlign w:val="center"/>
          </w:tcPr>
          <w:p w:rsidR="00B85B3A" w:rsidRPr="00C46B80" w:rsidRDefault="00822FE7" w:rsidP="00670783">
            <w:r w:rsidRPr="00C46B80">
              <w:t>Aktivnost</w:t>
            </w:r>
          </w:p>
        </w:tc>
        <w:tc>
          <w:tcPr>
            <w:tcW w:w="0" w:type="auto"/>
            <w:vAlign w:val="center"/>
          </w:tcPr>
          <w:p w:rsidR="00B85B3A" w:rsidRPr="00C46B80" w:rsidRDefault="00822FE7" w:rsidP="00670783">
            <w:r w:rsidRPr="00C46B80">
              <w:t>Odgovornost</w:t>
            </w:r>
          </w:p>
        </w:tc>
        <w:tc>
          <w:tcPr>
            <w:tcW w:w="0" w:type="auto"/>
            <w:vAlign w:val="center"/>
          </w:tcPr>
          <w:p w:rsidR="00B85B3A" w:rsidRPr="00C46B80" w:rsidRDefault="00822FE7" w:rsidP="00670783">
            <w:r w:rsidRPr="00C46B80">
              <w:t>Dokument</w:t>
            </w:r>
          </w:p>
        </w:tc>
        <w:tc>
          <w:tcPr>
            <w:tcW w:w="0" w:type="auto"/>
            <w:vAlign w:val="center"/>
          </w:tcPr>
          <w:p w:rsidR="00B85B3A" w:rsidRPr="00C46B80" w:rsidRDefault="00822FE7" w:rsidP="00670783">
            <w:r w:rsidRPr="00C46B80">
              <w:t>Rok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1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Utvrđivanje knjigovodstvenog stanja dužnika/prikupljanje podataka o poslovnom računu ili imovinskom stanju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Računovodstvo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Knjigovodstvene kartice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Prije zastare potraživanja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2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Prikupljanje dokumentacije za ovršni postupak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Računovodstvo</w:t>
            </w:r>
            <w:r w:rsidR="00E47C06" w:rsidRPr="00C46B80">
              <w:t>/ Tajništvo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Knjigovodstvena kartica ili računi/obračun kamata/opomena s povratnicom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Prije zastare potraživanja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3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Izrada prijedloga za ovrhu</w:t>
            </w:r>
          </w:p>
        </w:tc>
        <w:tc>
          <w:tcPr>
            <w:tcW w:w="0" w:type="auto"/>
          </w:tcPr>
          <w:p w:rsidR="00B85B3A" w:rsidRPr="00C46B80" w:rsidRDefault="00E47C06" w:rsidP="00822FE7">
            <w:r w:rsidRPr="00C46B80">
              <w:t>Tajništvo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Nacrt prijedloga za ovrhu Općinskom sudu ili javnom bilježniku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Najkasnije 2 dana od pokretanja postupka</w:t>
            </w:r>
          </w:p>
        </w:tc>
      </w:tr>
      <w:tr w:rsidR="00C46B80" w:rsidRPr="00C46B80" w:rsidTr="00DE46C0">
        <w:trPr>
          <w:trHeight w:val="960"/>
        </w:trPr>
        <w:tc>
          <w:tcPr>
            <w:tcW w:w="0" w:type="auto"/>
          </w:tcPr>
          <w:p w:rsidR="00B85B3A" w:rsidRPr="00C46B80" w:rsidRDefault="00B85B3A" w:rsidP="00822FE7">
            <w:r w:rsidRPr="00C46B80">
              <w:t>4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 xml:space="preserve">Ovjera i potpis prijedloga za ovrhu 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Ravnatelj/ica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Prijedlog za ovrhu Općinskom sudu ili javnom bilježniku</w:t>
            </w:r>
          </w:p>
        </w:tc>
        <w:tc>
          <w:tcPr>
            <w:tcW w:w="0" w:type="auto"/>
          </w:tcPr>
          <w:p w:rsidR="00B85B3A" w:rsidRPr="00C46B80" w:rsidRDefault="00DE46C0" w:rsidP="00DE46C0">
            <w:r w:rsidRPr="00C46B80">
              <w:t>Najkasnije 2 dana od izrade prijedloga</w:t>
            </w:r>
          </w:p>
        </w:tc>
      </w:tr>
      <w:tr w:rsidR="00C46B80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lastRenderedPageBreak/>
              <w:t>5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Dostava prijedloga za ovrhu Općinskom sudu ili javnom bilježniku</w:t>
            </w:r>
          </w:p>
        </w:tc>
        <w:tc>
          <w:tcPr>
            <w:tcW w:w="0" w:type="auto"/>
          </w:tcPr>
          <w:p w:rsidR="00B85B3A" w:rsidRPr="00C46B80" w:rsidRDefault="00B65A5C" w:rsidP="00822FE7">
            <w:r w:rsidRPr="00C46B80">
              <w:t>Administracija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Knjiga izlazne pošte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Najkasnije 2 dana od izrade prijedloga</w:t>
            </w:r>
          </w:p>
        </w:tc>
      </w:tr>
      <w:tr w:rsidR="00B85B3A" w:rsidRPr="00C46B80" w:rsidTr="00DE46C0">
        <w:tc>
          <w:tcPr>
            <w:tcW w:w="0" w:type="auto"/>
          </w:tcPr>
          <w:p w:rsidR="00B85B3A" w:rsidRPr="00C46B80" w:rsidRDefault="00B85B3A" w:rsidP="00822FE7">
            <w:r w:rsidRPr="00C46B80">
              <w:t>6</w:t>
            </w:r>
            <w:r w:rsidR="00822FE7" w:rsidRPr="00C46B80">
              <w:t>.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 xml:space="preserve">Dostava pravomoćnih </w:t>
            </w:r>
            <w:r w:rsidR="00DE46C0" w:rsidRPr="00C46B80">
              <w:t>rješenja o ovrsi FINA-i</w:t>
            </w:r>
          </w:p>
        </w:tc>
        <w:tc>
          <w:tcPr>
            <w:tcW w:w="0" w:type="auto"/>
          </w:tcPr>
          <w:p w:rsidR="00B85B3A" w:rsidRPr="00C46B80" w:rsidRDefault="00E47C06" w:rsidP="00822FE7">
            <w:r w:rsidRPr="00C46B80">
              <w:t>Administracija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Pravomoćno rješenje</w:t>
            </w:r>
          </w:p>
        </w:tc>
        <w:tc>
          <w:tcPr>
            <w:tcW w:w="0" w:type="auto"/>
          </w:tcPr>
          <w:p w:rsidR="00B85B3A" w:rsidRPr="00C46B80" w:rsidRDefault="00B85B3A" w:rsidP="00822FE7">
            <w:r w:rsidRPr="00C46B80">
              <w:t>Najkasnije 2 dana od primitka pravomoćnih rješenja</w:t>
            </w:r>
          </w:p>
        </w:tc>
      </w:tr>
    </w:tbl>
    <w:p w:rsidR="00B85B3A" w:rsidRPr="00C46B80" w:rsidRDefault="00B85B3A" w:rsidP="00B85B3A">
      <w:pPr>
        <w:jc w:val="both"/>
      </w:pPr>
    </w:p>
    <w:p w:rsidR="00DE46C0" w:rsidRPr="00C46B80" w:rsidRDefault="00DE46C0" w:rsidP="00B85B3A">
      <w:pPr>
        <w:jc w:val="both"/>
      </w:pPr>
    </w:p>
    <w:p w:rsidR="00847C2E" w:rsidRPr="00C46B80" w:rsidRDefault="00B85B3A" w:rsidP="00DE46C0">
      <w:pPr>
        <w:jc w:val="center"/>
      </w:pPr>
      <w:r w:rsidRPr="00C46B80">
        <w:t>Članak 5.</w:t>
      </w:r>
    </w:p>
    <w:p w:rsidR="00847C2E" w:rsidRPr="00C46B80" w:rsidRDefault="00847C2E" w:rsidP="00847C2E">
      <w:pPr>
        <w:jc w:val="both"/>
      </w:pPr>
      <w:r w:rsidRPr="00C46B80">
        <w:t>Ova Procedura stupa na snagu danom donošenja, a objavit će se na oglasnoj ploči i web stranici Škole.</w:t>
      </w:r>
    </w:p>
    <w:p w:rsidR="00847C2E" w:rsidRPr="00C46B80" w:rsidRDefault="00847C2E" w:rsidP="00847C2E">
      <w:pPr>
        <w:jc w:val="both"/>
      </w:pPr>
      <w:r w:rsidRPr="00C46B80">
        <w:t>Stupanjem na snagu ove Procedure prestaje važiti Procedura praćenja i naplate prihoda i primitaka od 17.10.2017. (KLASA: 602-02/17-04/17, URBROJ: 2170-56-01-17-01).</w:t>
      </w:r>
    </w:p>
    <w:p w:rsidR="00847C2E" w:rsidRPr="00C46B80" w:rsidRDefault="00847C2E" w:rsidP="00847C2E">
      <w:pPr>
        <w:jc w:val="both"/>
      </w:pPr>
    </w:p>
    <w:p w:rsidR="00DE46C0" w:rsidRPr="00C46B80" w:rsidRDefault="00DE46C0" w:rsidP="00847C2E">
      <w:pPr>
        <w:jc w:val="both"/>
      </w:pPr>
    </w:p>
    <w:p w:rsidR="00DE46C0" w:rsidRPr="00C46B80" w:rsidRDefault="00DE46C0" w:rsidP="00847C2E">
      <w:pPr>
        <w:jc w:val="both"/>
      </w:pPr>
    </w:p>
    <w:p w:rsidR="00847C2E" w:rsidRPr="00C46B80" w:rsidRDefault="00847C2E" w:rsidP="00847C2E">
      <w:pPr>
        <w:jc w:val="both"/>
      </w:pPr>
    </w:p>
    <w:p w:rsidR="00847C2E" w:rsidRPr="00C46B80" w:rsidRDefault="00847C2E" w:rsidP="00847C2E">
      <w:pPr>
        <w:jc w:val="both"/>
      </w:pPr>
      <w:r w:rsidRPr="00C46B80">
        <w:t>Rijeka, 29. listopada 2019.</w:t>
      </w:r>
      <w:r w:rsidRPr="00C46B80">
        <w:tab/>
      </w:r>
      <w:r w:rsidRPr="00C46B80">
        <w:tab/>
      </w:r>
      <w:r w:rsidRPr="00C46B80">
        <w:tab/>
      </w:r>
      <w:r w:rsidRPr="00C46B80">
        <w:tab/>
      </w:r>
      <w:r w:rsidRPr="00C46B80">
        <w:tab/>
      </w:r>
      <w:r w:rsidRPr="00C46B80">
        <w:tab/>
        <w:t>Ravnateljica:</w:t>
      </w:r>
      <w:r w:rsidRPr="00C46B80">
        <w:tab/>
      </w:r>
    </w:p>
    <w:p w:rsidR="00847C2E" w:rsidRPr="00C46B80" w:rsidRDefault="00847C2E" w:rsidP="00847C2E">
      <w:pPr>
        <w:jc w:val="both"/>
      </w:pPr>
      <w:r w:rsidRPr="00C46B80">
        <w:t>KLASA: 003-05/19-01/</w:t>
      </w:r>
      <w:r w:rsidR="0064798E">
        <w:t>09</w:t>
      </w:r>
      <w:bookmarkStart w:id="0" w:name="_GoBack"/>
      <w:bookmarkEnd w:id="0"/>
      <w:r w:rsidRPr="00C46B80">
        <w:t xml:space="preserve"> </w:t>
      </w:r>
    </w:p>
    <w:p w:rsidR="00847C2E" w:rsidRPr="00C46B80" w:rsidRDefault="00847C2E" w:rsidP="00847C2E">
      <w:pPr>
        <w:jc w:val="both"/>
      </w:pPr>
      <w:r w:rsidRPr="00C46B80">
        <w:t>URBROJ: 2170-56-01-19-01</w:t>
      </w:r>
      <w:r w:rsidRPr="00C46B80">
        <w:tab/>
      </w:r>
      <w:r w:rsidRPr="00C46B80">
        <w:tab/>
      </w:r>
      <w:r w:rsidRPr="00C46B80">
        <w:tab/>
      </w:r>
      <w:r w:rsidRPr="00C46B80">
        <w:tab/>
      </w:r>
      <w:r w:rsidRPr="00C46B80">
        <w:tab/>
      </w:r>
      <w:r w:rsidRPr="00C46B80">
        <w:tab/>
        <w:t>____________________</w:t>
      </w:r>
    </w:p>
    <w:p w:rsidR="00847C2E" w:rsidRPr="00C46B80" w:rsidRDefault="00847C2E" w:rsidP="00847C2E">
      <w:pPr>
        <w:jc w:val="both"/>
      </w:pPr>
      <w:r w:rsidRPr="00C46B80">
        <w:tab/>
      </w:r>
      <w:r w:rsidRPr="00C46B80">
        <w:tab/>
      </w:r>
      <w:r w:rsidRPr="00C46B80">
        <w:tab/>
      </w:r>
      <w:r w:rsidRPr="00C46B80">
        <w:tab/>
      </w:r>
      <w:r w:rsidRPr="00C46B80">
        <w:tab/>
      </w:r>
      <w:r w:rsidRPr="00C46B80">
        <w:tab/>
      </w:r>
      <w:r w:rsidRPr="00C46B80">
        <w:tab/>
      </w:r>
      <w:r w:rsidRPr="00C46B80">
        <w:tab/>
      </w:r>
      <w:r w:rsidRPr="00C46B80">
        <w:tab/>
        <w:t>Nataša Jokić Nastasić, prof.</w:t>
      </w:r>
    </w:p>
    <w:sectPr w:rsidR="00847C2E" w:rsidRPr="00C46B80" w:rsidSect="00DE46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3A"/>
    <w:rsid w:val="00094DDB"/>
    <w:rsid w:val="0019307E"/>
    <w:rsid w:val="00296C02"/>
    <w:rsid w:val="00434652"/>
    <w:rsid w:val="0064798E"/>
    <w:rsid w:val="006528DB"/>
    <w:rsid w:val="006E50C4"/>
    <w:rsid w:val="007753BC"/>
    <w:rsid w:val="007A0F88"/>
    <w:rsid w:val="007F0F9A"/>
    <w:rsid w:val="00822FE7"/>
    <w:rsid w:val="008438A7"/>
    <w:rsid w:val="00847C2E"/>
    <w:rsid w:val="008B535C"/>
    <w:rsid w:val="00A27556"/>
    <w:rsid w:val="00B65A5C"/>
    <w:rsid w:val="00B85B3A"/>
    <w:rsid w:val="00C46B80"/>
    <w:rsid w:val="00CD6ED4"/>
    <w:rsid w:val="00DE46C0"/>
    <w:rsid w:val="00E4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75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55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75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55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ineszaharija@yahoo.com</dc:creator>
  <cp:lastModifiedBy>Monika Robotić</cp:lastModifiedBy>
  <cp:revision>9</cp:revision>
  <cp:lastPrinted>2019-10-31T07:47:00Z</cp:lastPrinted>
  <dcterms:created xsi:type="dcterms:W3CDTF">2019-10-29T18:26:00Z</dcterms:created>
  <dcterms:modified xsi:type="dcterms:W3CDTF">2019-10-31T07:48:00Z</dcterms:modified>
</cp:coreProperties>
</file>