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1"/>
      </w:tblGrid>
      <w:tr w:rsidR="007E02DB" w:rsidRPr="004938C4" w:rsidTr="00EF650F">
        <w:trPr>
          <w:trHeight w:val="688"/>
        </w:trPr>
        <w:tc>
          <w:tcPr>
            <w:tcW w:w="9521" w:type="dxa"/>
            <w:tcBorders>
              <w:top w:val="double" w:sz="4" w:space="0" w:color="auto"/>
            </w:tcBorders>
          </w:tcPr>
          <w:p w:rsidR="007E02DB" w:rsidRPr="004938C4" w:rsidRDefault="007E02DB" w:rsidP="00EF650F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i/>
                <w:color w:val="000000"/>
                <w:sz w:val="24"/>
                <w:szCs w:val="24"/>
                <w:lang w:val="en-US"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US" w:eastAsia="hr-HR"/>
              </w:rPr>
              <w:br w:type="page"/>
            </w:r>
            <w:r w:rsidRPr="004938C4">
              <w:rPr>
                <w:rFonts w:eastAsia="Times New Roman" w:cs="Arial"/>
                <w:i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6BD546C9" wp14:editId="70098ABF">
                  <wp:extent cx="352425" cy="409575"/>
                  <wp:effectExtent l="19050" t="0" r="9525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US" w:eastAsia="hr-HR"/>
              </w:rPr>
              <w:t xml:space="preserve">  </w:t>
            </w: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US" w:eastAsia="hr-HR"/>
              </w:rPr>
              <w:t>PRIMORSKO-GORANSKA ŽUPANIJA</w:t>
            </w:r>
          </w:p>
        </w:tc>
      </w:tr>
      <w:tr w:rsidR="007E02DB" w:rsidRPr="004938C4" w:rsidTr="00EF650F">
        <w:trPr>
          <w:trHeight w:val="142"/>
        </w:trPr>
        <w:tc>
          <w:tcPr>
            <w:tcW w:w="9521" w:type="dxa"/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right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7E02DB" w:rsidRPr="004938C4" w:rsidTr="00EF650F">
        <w:trPr>
          <w:trHeight w:val="371"/>
        </w:trPr>
        <w:tc>
          <w:tcPr>
            <w:tcW w:w="9521" w:type="dxa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US" w:eastAsia="hr-HR"/>
              </w:rPr>
              <w:t>ZAPISNIK SA SASTANKA</w:t>
            </w:r>
          </w:p>
        </w:tc>
      </w:tr>
      <w:tr w:rsidR="007E02DB" w:rsidRPr="004938C4" w:rsidTr="00EF650F">
        <w:trPr>
          <w:trHeight w:val="147"/>
        </w:trPr>
        <w:tc>
          <w:tcPr>
            <w:tcW w:w="9521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right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</w:tbl>
    <w:p w:rsidR="007E02DB" w:rsidRPr="004938C4" w:rsidRDefault="007E02DB" w:rsidP="007E02DB">
      <w:pPr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val="en-GB" w:eastAsia="hr-HR"/>
        </w:rPr>
      </w:pPr>
    </w:p>
    <w:tbl>
      <w:tblPr>
        <w:tblW w:w="952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4859"/>
        <w:gridCol w:w="2486"/>
      </w:tblGrid>
      <w:tr w:rsidR="007E02DB" w:rsidRPr="004938C4" w:rsidTr="00EF650F">
        <w:tc>
          <w:tcPr>
            <w:tcW w:w="217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7E02DB" w:rsidRPr="004938C4" w:rsidTr="00EF650F">
        <w:trPr>
          <w:trHeight w:val="552"/>
        </w:trPr>
        <w:tc>
          <w:tcPr>
            <w:tcW w:w="2176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4859" w:type="dxa"/>
            <w:tcBorders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</w:pP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Predsjednik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Školskog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odbora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Kornelija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Tonsa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  <w:t>, prof.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it-IT" w:eastAsia="hr-HR"/>
              </w:rPr>
            </w:pPr>
          </w:p>
        </w:tc>
      </w:tr>
    </w:tbl>
    <w:p w:rsidR="007E02DB" w:rsidRPr="004938C4" w:rsidRDefault="007E02DB" w:rsidP="007E02DB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3"/>
        <w:gridCol w:w="7345"/>
      </w:tblGrid>
      <w:tr w:rsidR="007E02DB" w:rsidRPr="004938C4" w:rsidTr="00EF650F">
        <w:trPr>
          <w:trHeight w:val="555"/>
        </w:trPr>
        <w:tc>
          <w:tcPr>
            <w:tcW w:w="2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Naziv sastanka:</w:t>
            </w:r>
          </w:p>
        </w:tc>
        <w:tc>
          <w:tcPr>
            <w:tcW w:w="73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16</w:t>
            </w: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. SJEDNICA  ŠKOLSKOG ODBORA EKONOMSKE ŠKOLE MIJE MIRKOVIĆA RIJEKA</w:t>
            </w:r>
            <w:r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 (elektronska sjednica)</w:t>
            </w:r>
          </w:p>
        </w:tc>
      </w:tr>
    </w:tbl>
    <w:p w:rsidR="007E02DB" w:rsidRPr="004938C4" w:rsidRDefault="007E02DB" w:rsidP="007E02DB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1557"/>
        <w:gridCol w:w="3614"/>
        <w:gridCol w:w="1437"/>
        <w:gridCol w:w="2298"/>
      </w:tblGrid>
      <w:tr w:rsidR="007E02DB" w:rsidRPr="004938C4" w:rsidTr="00EF650F">
        <w:trPr>
          <w:trHeight w:val="567"/>
        </w:trPr>
        <w:tc>
          <w:tcPr>
            <w:tcW w:w="592" w:type="dxa"/>
            <w:vMerge w:val="restart"/>
            <w:tcBorders>
              <w:top w:val="double" w:sz="4" w:space="0" w:color="auto"/>
            </w:tcBorders>
            <w:shd w:val="clear" w:color="auto" w:fill="E0E0E0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36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Ivana Filipovića 2, Rijeka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Početak:</w:t>
            </w:r>
          </w:p>
        </w:tc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27. veljače 2018. godine u 11,18</w:t>
            </w:r>
          </w:p>
        </w:tc>
      </w:tr>
      <w:tr w:rsidR="007E02DB" w:rsidRPr="004938C4" w:rsidTr="00EF650F">
        <w:trPr>
          <w:trHeight w:val="567"/>
        </w:trPr>
        <w:tc>
          <w:tcPr>
            <w:tcW w:w="592" w:type="dxa"/>
            <w:vMerge/>
            <w:tcBorders>
              <w:bottom w:val="double" w:sz="4" w:space="0" w:color="auto"/>
            </w:tcBorders>
            <w:shd w:val="clear" w:color="auto" w:fill="E0E0E0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Dan i datum:</w:t>
            </w:r>
          </w:p>
        </w:tc>
        <w:tc>
          <w:tcPr>
            <w:tcW w:w="36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>utorak, 13. veljače 2018. godine</w:t>
            </w:r>
          </w:p>
        </w:tc>
        <w:tc>
          <w:tcPr>
            <w:tcW w:w="1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Završetak: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7E02DB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  16. veljače 2018.   </w:t>
            </w:r>
          </w:p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    godine u 12,00</w:t>
            </w:r>
          </w:p>
        </w:tc>
      </w:tr>
    </w:tbl>
    <w:p w:rsidR="007E02DB" w:rsidRPr="004938C4" w:rsidRDefault="007E02DB" w:rsidP="007E02DB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598"/>
        <w:gridCol w:w="7341"/>
      </w:tblGrid>
      <w:tr w:rsidR="007E02DB" w:rsidRPr="004938C4" w:rsidTr="00EF650F">
        <w:trPr>
          <w:trHeight w:val="2784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E02DB" w:rsidRPr="004938C4" w:rsidRDefault="007E02DB" w:rsidP="00EF650F">
            <w:pPr>
              <w:spacing w:after="0" w:line="240" w:lineRule="auto"/>
              <w:ind w:left="-125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Prisutni:</w:t>
            </w:r>
          </w:p>
        </w:tc>
        <w:tc>
          <w:tcPr>
            <w:tcW w:w="7341" w:type="dxa"/>
            <w:tcBorders>
              <w:top w:val="double" w:sz="4" w:space="0" w:color="auto"/>
              <w:bottom w:val="double" w:sz="4" w:space="0" w:color="auto"/>
            </w:tcBorders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  <w:p w:rsidR="007E02DB" w:rsidRPr="004B18D3" w:rsidRDefault="007E02DB" w:rsidP="00EF650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Kornelija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Tonsa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, prof., predstavnica Nastavničkog vijeća </w:t>
            </w:r>
          </w:p>
          <w:p w:rsidR="007E02DB" w:rsidRPr="004B18D3" w:rsidRDefault="007E02DB" w:rsidP="00EF65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Sošić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, predstavnica Skupa radnika</w:t>
            </w:r>
          </w:p>
          <w:p w:rsidR="007E02DB" w:rsidRPr="00952E96" w:rsidRDefault="007E02DB" w:rsidP="00EF650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Dinko </w:t>
            </w:r>
            <w:proofErr w:type="spellStart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>Brautović</w:t>
            </w:r>
            <w:proofErr w:type="spellEnd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, predstavnik Vijeća roditelja  </w:t>
            </w:r>
          </w:p>
          <w:p w:rsidR="007E02DB" w:rsidRDefault="007E02DB" w:rsidP="00EF65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Uroš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Mikašinović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mag.oec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., predstavnik Nastavničkog vijeća</w:t>
            </w:r>
          </w:p>
          <w:p w:rsidR="007E02DB" w:rsidRPr="004938C4" w:rsidRDefault="007E02DB" w:rsidP="00EF650F">
            <w:pPr>
              <w:spacing w:after="0" w:line="240" w:lineRule="auto"/>
              <w:ind w:left="720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7E02DB" w:rsidRPr="004938C4" w:rsidRDefault="007E02DB" w:rsidP="007E02DB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9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0"/>
        <w:gridCol w:w="1192"/>
        <w:gridCol w:w="7736"/>
      </w:tblGrid>
      <w:tr w:rsidR="007E02DB" w:rsidRPr="004938C4" w:rsidTr="00EF650F">
        <w:trPr>
          <w:trHeight w:val="1281"/>
        </w:trPr>
        <w:tc>
          <w:tcPr>
            <w:tcW w:w="57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E02DB" w:rsidRPr="004938C4" w:rsidRDefault="007E02DB" w:rsidP="00EF650F">
            <w:pPr>
              <w:spacing w:after="0" w:line="240" w:lineRule="auto"/>
              <w:ind w:left="-125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Odsutni:</w:t>
            </w:r>
          </w:p>
        </w:tc>
        <w:tc>
          <w:tcPr>
            <w:tcW w:w="7736" w:type="dxa"/>
            <w:tcBorders>
              <w:top w:val="double" w:sz="4" w:space="0" w:color="auto"/>
            </w:tcBorders>
          </w:tcPr>
          <w:p w:rsidR="007E02DB" w:rsidRPr="004938C4" w:rsidRDefault="007E02DB" w:rsidP="00EF650F">
            <w:pPr>
              <w:spacing w:after="0" w:line="240" w:lineRule="auto"/>
              <w:ind w:right="-83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p w:rsidR="007E02DB" w:rsidRPr="004938C4" w:rsidRDefault="007E02DB" w:rsidP="00EF650F">
            <w:pPr>
              <w:spacing w:after="0" w:line="240" w:lineRule="auto"/>
              <w:ind w:left="720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  <w:p w:rsidR="007E02DB" w:rsidRPr="00952E96" w:rsidRDefault="007E02DB" w:rsidP="00EF650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right="-83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Vojko Braut, </w:t>
            </w:r>
            <w:proofErr w:type="spellStart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952E96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., predstavnik osnivača, </w:t>
            </w:r>
          </w:p>
          <w:p w:rsidR="007E02DB" w:rsidRPr="004B18D3" w:rsidRDefault="007E02DB" w:rsidP="00EF6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Radenko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 Stanojević, predstavnik osnivača, </w:t>
            </w:r>
          </w:p>
          <w:p w:rsidR="007E02DB" w:rsidRDefault="007E02DB" w:rsidP="00EF65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Mr. sc. Ante Županić, </w:t>
            </w:r>
            <w:proofErr w:type="spellStart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4B18D3">
              <w:rPr>
                <w:rFonts w:eastAsia="Times New Roman" w:cs="Arial"/>
                <w:i/>
                <w:sz w:val="24"/>
                <w:szCs w:val="24"/>
                <w:lang w:eastAsia="hr-HR"/>
              </w:rPr>
              <w:t>., predstavnik osnivača</w:t>
            </w:r>
          </w:p>
          <w:p w:rsidR="007E02DB" w:rsidRPr="00952E96" w:rsidRDefault="007E02DB" w:rsidP="00EF650F">
            <w:pPr>
              <w:spacing w:after="0" w:line="240" w:lineRule="auto"/>
              <w:ind w:left="720"/>
              <w:contextualSpacing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</w:p>
        </w:tc>
      </w:tr>
      <w:tr w:rsidR="007E02DB" w:rsidRPr="004938C4" w:rsidTr="00EF650F">
        <w:trPr>
          <w:trHeight w:val="2374"/>
        </w:trPr>
        <w:tc>
          <w:tcPr>
            <w:tcW w:w="17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7E02DB" w:rsidRPr="004938C4" w:rsidRDefault="007E02DB" w:rsidP="00EF650F">
            <w:pPr>
              <w:spacing w:after="0" w:line="240" w:lineRule="auto"/>
              <w:ind w:left="-125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>4.Dnevni red:</w:t>
            </w:r>
          </w:p>
        </w:tc>
        <w:tc>
          <w:tcPr>
            <w:tcW w:w="7736" w:type="dxa"/>
            <w:tcBorders>
              <w:bottom w:val="double" w:sz="4" w:space="0" w:color="auto"/>
            </w:tcBorders>
          </w:tcPr>
          <w:p w:rsidR="007E02DB" w:rsidRPr="00697F44" w:rsidRDefault="007E02DB" w:rsidP="00EF650F">
            <w:pPr>
              <w:pStyle w:val="Bezproreda"/>
              <w:jc w:val="both"/>
              <w:rPr>
                <w:rFonts w:asciiTheme="minorHAnsi" w:hAnsiTheme="minorHAnsi" w:cs="Aharon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Pr="00697F44">
              <w:rPr>
                <w:rFonts w:asciiTheme="minorHAnsi" w:hAnsiTheme="minorHAnsi"/>
                <w:i/>
              </w:rPr>
              <w:t xml:space="preserve">Prethodna suglasnost za zasnivanje radnog odnosa s Marijanom </w:t>
            </w:r>
            <w:proofErr w:type="spellStart"/>
            <w:r w:rsidRPr="00697F44">
              <w:rPr>
                <w:rFonts w:asciiTheme="minorHAnsi" w:hAnsiTheme="minorHAnsi"/>
                <w:i/>
              </w:rPr>
              <w:t>Lukendom</w:t>
            </w:r>
            <w:proofErr w:type="spellEnd"/>
            <w:r w:rsidRPr="00697F44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697F44">
              <w:rPr>
                <w:rFonts w:asciiTheme="minorHAnsi" w:hAnsiTheme="minorHAnsi"/>
                <w:i/>
              </w:rPr>
              <w:t>Blasich</w:t>
            </w:r>
            <w:proofErr w:type="spellEnd"/>
            <w:r w:rsidRPr="00697F44">
              <w:rPr>
                <w:rFonts w:asciiTheme="minorHAnsi" w:hAnsiTheme="minorHAnsi"/>
                <w:i/>
              </w:rPr>
              <w:t xml:space="preserve"> i </w:t>
            </w:r>
            <w:proofErr w:type="spellStart"/>
            <w:r w:rsidRPr="00697F44">
              <w:rPr>
                <w:rFonts w:asciiTheme="minorHAnsi" w:hAnsiTheme="minorHAnsi"/>
                <w:i/>
              </w:rPr>
              <w:t>Eleonorom</w:t>
            </w:r>
            <w:proofErr w:type="spellEnd"/>
            <w:r w:rsidRPr="00697F44">
              <w:rPr>
                <w:rFonts w:asciiTheme="minorHAnsi" w:hAnsiTheme="minorHAnsi"/>
                <w:i/>
              </w:rPr>
              <w:t xml:space="preserve"> Dujmović i izmjena dane prethodne suglasnosti za zasnivanje radnog odnosa s Vinkom </w:t>
            </w:r>
            <w:proofErr w:type="spellStart"/>
            <w:r w:rsidRPr="00697F44">
              <w:rPr>
                <w:rFonts w:asciiTheme="minorHAnsi" w:hAnsiTheme="minorHAnsi"/>
                <w:i/>
              </w:rPr>
              <w:t>Marijanovićem</w:t>
            </w:r>
            <w:proofErr w:type="spellEnd"/>
            <w:r w:rsidRPr="00697F44">
              <w:rPr>
                <w:rFonts w:asciiTheme="minorHAnsi" w:hAnsiTheme="minorHAnsi"/>
                <w:i/>
              </w:rPr>
              <w:t xml:space="preserve"> i </w:t>
            </w:r>
            <w:proofErr w:type="spellStart"/>
            <w:r w:rsidRPr="00697F44">
              <w:rPr>
                <w:rFonts w:asciiTheme="minorHAnsi" w:hAnsiTheme="minorHAnsi"/>
                <w:i/>
              </w:rPr>
              <w:t>Dariom</w:t>
            </w:r>
            <w:proofErr w:type="spellEnd"/>
            <w:r w:rsidRPr="00697F44">
              <w:rPr>
                <w:rFonts w:asciiTheme="minorHAnsi" w:hAnsiTheme="minorHAnsi"/>
                <w:i/>
              </w:rPr>
              <w:t xml:space="preserve"> Perkovićem</w:t>
            </w:r>
          </w:p>
        </w:tc>
      </w:tr>
    </w:tbl>
    <w:p w:rsidR="007E02DB" w:rsidRPr="004938C4" w:rsidRDefault="007E02DB" w:rsidP="007E02DB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76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"/>
        <w:gridCol w:w="2164"/>
        <w:gridCol w:w="71"/>
        <w:gridCol w:w="3690"/>
        <w:gridCol w:w="279"/>
        <w:gridCol w:w="1784"/>
        <w:gridCol w:w="1476"/>
      </w:tblGrid>
      <w:tr w:rsidR="007E02DB" w:rsidRPr="004938C4" w:rsidTr="00EF650F">
        <w:trPr>
          <w:gridBefore w:val="1"/>
          <w:wBefore w:w="12" w:type="dxa"/>
        </w:trPr>
        <w:tc>
          <w:tcPr>
            <w:tcW w:w="9464" w:type="dxa"/>
            <w:gridSpan w:val="6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Ad 1. </w:t>
            </w:r>
            <w:r w:rsidRPr="00697F44">
              <w:rPr>
                <w:i/>
                <w:sz w:val="24"/>
                <w:szCs w:val="24"/>
              </w:rPr>
              <w:t xml:space="preserve">Prethodna suglasnost za zasnivanje radnog odnosa s Marijanom </w:t>
            </w:r>
            <w:proofErr w:type="spellStart"/>
            <w:r w:rsidRPr="00697F44">
              <w:rPr>
                <w:i/>
                <w:sz w:val="24"/>
                <w:szCs w:val="24"/>
              </w:rPr>
              <w:t>Lukendom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97F44">
              <w:rPr>
                <w:i/>
                <w:sz w:val="24"/>
                <w:szCs w:val="24"/>
              </w:rPr>
              <w:t>Blasich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697F44">
              <w:rPr>
                <w:i/>
                <w:sz w:val="24"/>
                <w:szCs w:val="24"/>
              </w:rPr>
              <w:t>Eleonorom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Dujmović i izmjena dane prethodne suglasnosti za zasnivanje radnog odnosa s </w:t>
            </w:r>
            <w:r w:rsidRPr="00697F44">
              <w:rPr>
                <w:i/>
                <w:sz w:val="24"/>
                <w:szCs w:val="24"/>
              </w:rPr>
              <w:lastRenderedPageBreak/>
              <w:t xml:space="preserve">Vinkom </w:t>
            </w:r>
            <w:proofErr w:type="spellStart"/>
            <w:r w:rsidRPr="00697F44">
              <w:rPr>
                <w:i/>
                <w:sz w:val="24"/>
                <w:szCs w:val="24"/>
              </w:rPr>
              <w:t>Marijanovićem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697F44">
              <w:rPr>
                <w:i/>
                <w:sz w:val="24"/>
                <w:szCs w:val="24"/>
              </w:rPr>
              <w:t>Dariom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Perkovićem</w:t>
            </w:r>
          </w:p>
        </w:tc>
      </w:tr>
      <w:tr w:rsidR="007E02DB" w:rsidRPr="004938C4" w:rsidTr="00EF650F">
        <w:trPr>
          <w:gridBefore w:val="1"/>
          <w:wBefore w:w="12" w:type="dxa"/>
          <w:trHeight w:val="562"/>
        </w:trPr>
        <w:tc>
          <w:tcPr>
            <w:tcW w:w="9464" w:type="dxa"/>
            <w:gridSpan w:val="6"/>
          </w:tcPr>
          <w:p w:rsidR="007E02DB" w:rsidRPr="004973BD" w:rsidRDefault="007E02DB" w:rsidP="00EF650F">
            <w:pPr>
              <w:pStyle w:val="Odlomakpopisa"/>
              <w:spacing w:after="0" w:line="240" w:lineRule="auto"/>
              <w:jc w:val="both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E02DB" w:rsidRPr="004938C4" w:rsidTr="00EF650F">
        <w:trPr>
          <w:gridBefore w:val="1"/>
          <w:wBefore w:w="12" w:type="dxa"/>
        </w:trPr>
        <w:tc>
          <w:tcPr>
            <w:tcW w:w="5925" w:type="dxa"/>
            <w:gridSpan w:val="3"/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  <w:t xml:space="preserve">Zaključak </w:t>
            </w:r>
          </w:p>
        </w:tc>
        <w:tc>
          <w:tcPr>
            <w:tcW w:w="2063" w:type="dxa"/>
            <w:gridSpan w:val="2"/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E02DB" w:rsidRPr="004938C4" w:rsidTr="00EF650F">
        <w:trPr>
          <w:gridBefore w:val="1"/>
          <w:wBefore w:w="12" w:type="dxa"/>
          <w:trHeight w:val="1142"/>
        </w:trPr>
        <w:tc>
          <w:tcPr>
            <w:tcW w:w="5925" w:type="dxa"/>
            <w:gridSpan w:val="3"/>
            <w:tcBorders>
              <w:bottom w:val="double" w:sz="4" w:space="0" w:color="auto"/>
            </w:tcBorders>
            <w:vAlign w:val="center"/>
          </w:tcPr>
          <w:p w:rsidR="007E02DB" w:rsidRPr="001E533C" w:rsidRDefault="007E02DB" w:rsidP="00EF650F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Donesena je odluka kojom se daje suglasnost za zapošljavanje:</w:t>
            </w:r>
          </w:p>
          <w:p w:rsidR="007E02DB" w:rsidRDefault="007E02DB" w:rsidP="00EF650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Marijane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Lukende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Blasich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., na radnom mjestu nastavnice pravne grupe predmeta na određeno nepuno radno vrijeme od 11 sati ukupnog radnog vremena do povratka na rad nastavnice pravne grupe predmeta Sonje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Doboviček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dipl.iur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.</w:t>
            </w:r>
          </w:p>
          <w:p w:rsidR="007E02DB" w:rsidRPr="001E533C" w:rsidRDefault="007E02DB" w:rsidP="00EF650F">
            <w:pPr>
              <w:pStyle w:val="Odlomakpopisa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  <w:p w:rsidR="007E02DB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KLASA: 003-06/18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-01/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12</w:t>
            </w:r>
          </w:p>
          <w:p w:rsidR="007E02DB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1E533C">
              <w:rPr>
                <w:rFonts w:eastAsia="Times New Roman" w:cs="Times New Roman"/>
                <w:i/>
                <w:sz w:val="16"/>
                <w:szCs w:val="16"/>
              </w:rPr>
              <w:t>URBROJ: 2170-56-03-18-01</w:t>
            </w:r>
          </w:p>
          <w:p w:rsidR="007E02DB" w:rsidRPr="001E533C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  <w:p w:rsidR="007E02DB" w:rsidRPr="001E533C" w:rsidRDefault="007E02DB" w:rsidP="00EF650F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Eleonore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 Dujmović, na radnom mjestu medicinske sestre njegovateljice na određeno puno radno vrijeme od 40 sati ukupnog radnog vremena do povratka na rad radnice Paule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Šporn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, ali ne dulje do 12. travnja 2018. godine.</w:t>
            </w:r>
          </w:p>
          <w:p w:rsidR="007E02DB" w:rsidRPr="001E533C" w:rsidRDefault="007E02DB" w:rsidP="00EF650F">
            <w:pPr>
              <w:pStyle w:val="Odlomakpopisa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  <w:p w:rsidR="007E02DB" w:rsidRPr="007F535F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KLASA: 003-06/18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-01/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13</w:t>
            </w:r>
          </w:p>
          <w:p w:rsidR="007E02DB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URBROJ: 2170-56-03-1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</w:t>
            </w:r>
          </w:p>
          <w:p w:rsidR="007E02DB" w:rsidRPr="001E533C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  <w:p w:rsidR="007E02DB" w:rsidRPr="001E533C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</w:t>
            </w:r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b) Donesena je odluka kojom je dana suglasnost za izmjenom dane suglasnosti za zapošljavanje:</w:t>
            </w:r>
          </w:p>
          <w:p w:rsidR="007E02DB" w:rsidRPr="001E533C" w:rsidRDefault="007E02DB" w:rsidP="00EF650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Vinka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Marijanovića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mag.theol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., na radnom mjestu nastavnika rimokatoličkog vjeronauka na određeno nepuno radno vrijeme od 30 sati ukupnog tjednog radnog vremena do povratka nastavnice Tanje Knežević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Pecotić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 na rad, ali ne duže od 31. kolovoza 2018. godine.</w:t>
            </w:r>
          </w:p>
          <w:p w:rsidR="007E02DB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7E02DB" w:rsidRPr="007F535F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KLASA: 003-06/18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-01/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14</w:t>
            </w:r>
          </w:p>
          <w:p w:rsidR="007E02DB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1E533C">
              <w:rPr>
                <w:rFonts w:eastAsia="Times New Roman" w:cs="Times New Roman"/>
                <w:i/>
                <w:sz w:val="16"/>
                <w:szCs w:val="16"/>
              </w:rPr>
              <w:t>URBROJ: 2170-56-03-18-01</w:t>
            </w:r>
          </w:p>
          <w:p w:rsidR="007E02DB" w:rsidRPr="001E533C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  <w:p w:rsidR="007E02DB" w:rsidRPr="001E533C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2.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Daria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 Perkovića,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mag.theol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., na radnom mjestu nastavnika rimokatoličkog vjeronauka na određeno nepuno radno vrijeme od 23 sata ukupnog tjednog radnog vremena do povratka nastavnice Tanje Knežević </w:t>
            </w:r>
            <w:proofErr w:type="spellStart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>Pecotić</w:t>
            </w:r>
            <w:proofErr w:type="spellEnd"/>
            <w:r w:rsidRPr="001E533C">
              <w:rPr>
                <w:rFonts w:eastAsia="Times New Roman" w:cs="Times New Roman"/>
                <w:i/>
                <w:sz w:val="24"/>
                <w:szCs w:val="24"/>
                <w:lang w:eastAsia="hr-HR"/>
              </w:rPr>
              <w:t xml:space="preserve"> na rad, ali ne duže od 31. kolovoza 2018. godine.“</w:t>
            </w:r>
          </w:p>
          <w:p w:rsidR="007E02DB" w:rsidRPr="00A628F8" w:rsidRDefault="007E02DB" w:rsidP="00EF650F">
            <w:pPr>
              <w:pStyle w:val="Bezproreda"/>
            </w:pPr>
          </w:p>
          <w:p w:rsidR="007E02DB" w:rsidRPr="007F535F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KLASA: 003-06/18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-01/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15</w:t>
            </w:r>
          </w:p>
          <w:p w:rsidR="007E02DB" w:rsidRPr="00187343" w:rsidRDefault="007E02DB" w:rsidP="00EF650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URBROJ: 2170-56-03-1</w:t>
            </w:r>
            <w:r>
              <w:rPr>
                <w:rFonts w:eastAsia="Times New Roman" w:cs="Times New Roman"/>
                <w:i/>
                <w:sz w:val="16"/>
                <w:szCs w:val="16"/>
              </w:rPr>
              <w:t>8</w:t>
            </w:r>
            <w:r w:rsidRPr="007F535F">
              <w:rPr>
                <w:rFonts w:eastAsia="Times New Roman" w:cs="Times New Roman"/>
                <w:i/>
                <w:sz w:val="16"/>
                <w:szCs w:val="16"/>
              </w:rPr>
              <w:t>-01</w:t>
            </w:r>
          </w:p>
        </w:tc>
        <w:tc>
          <w:tcPr>
            <w:tcW w:w="2063" w:type="dxa"/>
            <w:gridSpan w:val="2"/>
            <w:tcBorders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</w:p>
        </w:tc>
      </w:tr>
      <w:tr w:rsidR="007E02DB" w:rsidRPr="004938C4" w:rsidTr="00EF650F">
        <w:tblPrEx>
          <w:tblLook w:val="0000" w:firstRow="0" w:lastRow="0" w:firstColumn="0" w:lastColumn="0" w:noHBand="0" w:noVBand="0"/>
        </w:tblPrEx>
        <w:tc>
          <w:tcPr>
            <w:tcW w:w="2247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Zapisnik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sastavila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Ime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i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prezime</w:t>
            </w:r>
            <w:proofErr w:type="spellEnd"/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Potpis</w:t>
            </w:r>
            <w:proofErr w:type="spellEnd"/>
          </w:p>
        </w:tc>
      </w:tr>
      <w:tr w:rsidR="007E02DB" w:rsidRPr="004938C4" w:rsidTr="00EF650F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224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  <w:t xml:space="preserve">Monika Robotić, </w:t>
            </w:r>
            <w:proofErr w:type="spellStart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  <w:t>dipl.iur</w:t>
            </w:r>
            <w:proofErr w:type="spellEnd"/>
            <w:r w:rsidRPr="004938C4"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  <w:t>.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24"/>
                <w:szCs w:val="24"/>
                <w:lang w:val="en-GB" w:eastAsia="hr-HR"/>
              </w:rPr>
            </w:pPr>
          </w:p>
        </w:tc>
      </w:tr>
      <w:tr w:rsidR="007E02DB" w:rsidRPr="004938C4" w:rsidTr="00EF650F">
        <w:trPr>
          <w:gridBefore w:val="1"/>
          <w:wBefore w:w="12" w:type="dxa"/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proofErr w:type="spellStart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Prilozi</w:t>
            </w:r>
            <w:proofErr w:type="spellEnd"/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:</w:t>
            </w:r>
          </w:p>
        </w:tc>
        <w:tc>
          <w:tcPr>
            <w:tcW w:w="7300" w:type="dxa"/>
            <w:gridSpan w:val="5"/>
            <w:tcBorders>
              <w:top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jc w:val="both"/>
              <w:rPr>
                <w:rFonts w:eastAsia="Times New Roman" w:cs="Arial"/>
                <w:i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 xml:space="preserve">- </w:t>
            </w:r>
            <w:r w:rsidRPr="00697F44">
              <w:rPr>
                <w:i/>
                <w:sz w:val="24"/>
                <w:szCs w:val="24"/>
              </w:rPr>
              <w:t xml:space="preserve">Prethodna suglasnost za zasnivanje radnog odnosa s Marijanom </w:t>
            </w:r>
            <w:proofErr w:type="spellStart"/>
            <w:r w:rsidRPr="00697F44">
              <w:rPr>
                <w:i/>
                <w:sz w:val="24"/>
                <w:szCs w:val="24"/>
              </w:rPr>
              <w:t>Lukendom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97F44">
              <w:rPr>
                <w:i/>
                <w:sz w:val="24"/>
                <w:szCs w:val="24"/>
              </w:rPr>
              <w:t>Blasich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697F44">
              <w:rPr>
                <w:i/>
                <w:sz w:val="24"/>
                <w:szCs w:val="24"/>
              </w:rPr>
              <w:t>Eleonorom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Dujmović i izmjena dane prethodne suglasnosti za zasnivanje radnog odnosa s Vinkom </w:t>
            </w:r>
            <w:proofErr w:type="spellStart"/>
            <w:r w:rsidRPr="00697F44">
              <w:rPr>
                <w:i/>
                <w:sz w:val="24"/>
                <w:szCs w:val="24"/>
              </w:rPr>
              <w:t>Marijanovićem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697F44">
              <w:rPr>
                <w:i/>
                <w:sz w:val="24"/>
                <w:szCs w:val="24"/>
              </w:rPr>
              <w:lastRenderedPageBreak/>
              <w:t>Dariom</w:t>
            </w:r>
            <w:proofErr w:type="spellEnd"/>
            <w:r w:rsidRPr="00697F44">
              <w:rPr>
                <w:i/>
                <w:sz w:val="24"/>
                <w:szCs w:val="24"/>
              </w:rPr>
              <w:t xml:space="preserve"> Perkovićem</w:t>
            </w:r>
            <w:r>
              <w:rPr>
                <w:i/>
                <w:sz w:val="24"/>
                <w:szCs w:val="24"/>
              </w:rPr>
              <w:t xml:space="preserve"> od 13. veljače 2018. godine </w:t>
            </w:r>
            <w:r w:rsidRPr="004973BD">
              <w:rPr>
                <w:i/>
              </w:rPr>
              <w:t>(</w:t>
            </w:r>
            <w:r w:rsidRPr="004973BD">
              <w:rPr>
                <w:rFonts w:cs="Times New Roman"/>
                <w:i/>
              </w:rPr>
              <w:t xml:space="preserve">KLASA: </w:t>
            </w:r>
            <w:r>
              <w:rPr>
                <w:i/>
              </w:rPr>
              <w:t>110-01/18-01/</w:t>
            </w:r>
            <w:proofErr w:type="spellStart"/>
            <w:r>
              <w:rPr>
                <w:i/>
              </w:rPr>
              <w:t>01</w:t>
            </w:r>
            <w:proofErr w:type="spellEnd"/>
            <w:r w:rsidRPr="004973BD">
              <w:rPr>
                <w:rFonts w:cs="Times New Roman"/>
                <w:i/>
              </w:rPr>
              <w:t>; URBROJ: 2170-56-01-18-01)</w:t>
            </w:r>
          </w:p>
        </w:tc>
      </w:tr>
    </w:tbl>
    <w:p w:rsidR="007E02DB" w:rsidRPr="004938C4" w:rsidRDefault="007E02DB" w:rsidP="007E02DB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hr-HR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4"/>
        <w:gridCol w:w="7300"/>
      </w:tblGrid>
      <w:tr w:rsidR="007E02DB" w:rsidRPr="004938C4" w:rsidTr="00EF650F">
        <w:trPr>
          <w:trHeight w:val="567"/>
        </w:trPr>
        <w:tc>
          <w:tcPr>
            <w:tcW w:w="216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KLASA:</w:t>
            </w:r>
          </w:p>
        </w:tc>
        <w:tc>
          <w:tcPr>
            <w:tcW w:w="7300" w:type="dxa"/>
            <w:tcBorders>
              <w:top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003-06/1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-01/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16</w:t>
            </w:r>
          </w:p>
        </w:tc>
      </w:tr>
      <w:tr w:rsidR="007E02DB" w:rsidRPr="004938C4" w:rsidTr="00EF650F">
        <w:trPr>
          <w:trHeight w:val="567"/>
        </w:trPr>
        <w:tc>
          <w:tcPr>
            <w:tcW w:w="216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7E02DB" w:rsidRPr="004938C4" w:rsidRDefault="007E02DB" w:rsidP="00EF650F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</w:pPr>
            <w:r w:rsidRPr="004938C4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val="en-GB" w:eastAsia="hr-HR"/>
              </w:rPr>
              <w:t>URBROJ:</w:t>
            </w:r>
          </w:p>
        </w:tc>
        <w:tc>
          <w:tcPr>
            <w:tcW w:w="7300" w:type="dxa"/>
            <w:tcBorders>
              <w:bottom w:val="double" w:sz="4" w:space="0" w:color="auto"/>
            </w:tcBorders>
            <w:vAlign w:val="center"/>
          </w:tcPr>
          <w:p w:rsidR="007E02DB" w:rsidRPr="004938C4" w:rsidRDefault="007E02DB" w:rsidP="00EF650F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hr-HR"/>
              </w:rPr>
            </w:pP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2170-56-03-1</w:t>
            </w:r>
            <w:r>
              <w:rPr>
                <w:rFonts w:eastAsia="Times New Roman" w:cs="Arial"/>
                <w:i/>
                <w:sz w:val="24"/>
                <w:szCs w:val="24"/>
                <w:lang w:eastAsia="hr-HR"/>
              </w:rPr>
              <w:t>8</w:t>
            </w:r>
            <w:r w:rsidRPr="004938C4">
              <w:rPr>
                <w:rFonts w:eastAsia="Times New Roman" w:cs="Arial"/>
                <w:i/>
                <w:sz w:val="24"/>
                <w:szCs w:val="24"/>
                <w:lang w:eastAsia="hr-HR"/>
              </w:rPr>
              <w:t>-01</w:t>
            </w:r>
          </w:p>
        </w:tc>
      </w:tr>
    </w:tbl>
    <w:p w:rsidR="007E02DB" w:rsidRPr="004938C4" w:rsidRDefault="007E02DB" w:rsidP="007E02DB">
      <w:pPr>
        <w:spacing w:after="0" w:line="240" w:lineRule="auto"/>
        <w:rPr>
          <w:rFonts w:eastAsia="Times New Roman" w:cs="Times New Roman"/>
          <w:i/>
          <w:sz w:val="24"/>
          <w:szCs w:val="24"/>
          <w:lang w:eastAsia="hr-HR"/>
        </w:rPr>
      </w:pPr>
    </w:p>
    <w:p w:rsidR="007E02DB" w:rsidRDefault="007E02DB" w:rsidP="007E02DB"/>
    <w:p w:rsidR="007E02DB" w:rsidRDefault="007E02DB" w:rsidP="007E02DB"/>
    <w:p w:rsidR="007E02DB" w:rsidRDefault="007E02DB" w:rsidP="007E02DB"/>
    <w:p w:rsidR="007E02DB" w:rsidRDefault="007E02DB" w:rsidP="007E02DB"/>
    <w:p w:rsidR="008960E7" w:rsidRDefault="008960E7">
      <w:bookmarkStart w:id="0" w:name="_GoBack"/>
      <w:bookmarkEnd w:id="0"/>
    </w:p>
    <w:sectPr w:rsidR="008960E7" w:rsidSect="008229EF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7F7"/>
    <w:multiLevelType w:val="hybridMultilevel"/>
    <w:tmpl w:val="538CB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E175A"/>
    <w:multiLevelType w:val="hybridMultilevel"/>
    <w:tmpl w:val="A25063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766"/>
    <w:multiLevelType w:val="hybridMultilevel"/>
    <w:tmpl w:val="A4C4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34A92"/>
    <w:multiLevelType w:val="hybridMultilevel"/>
    <w:tmpl w:val="00448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351"/>
    <w:multiLevelType w:val="hybridMultilevel"/>
    <w:tmpl w:val="4B903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DB"/>
    <w:rsid w:val="007E02DB"/>
    <w:rsid w:val="008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02DB"/>
    <w:pPr>
      <w:ind w:left="720"/>
      <w:contextualSpacing/>
    </w:pPr>
  </w:style>
  <w:style w:type="paragraph" w:styleId="Bezproreda">
    <w:name w:val="No Spacing"/>
    <w:uiPriority w:val="1"/>
    <w:qFormat/>
    <w:rsid w:val="007E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02DB"/>
    <w:pPr>
      <w:ind w:left="720"/>
      <w:contextualSpacing/>
    </w:pPr>
  </w:style>
  <w:style w:type="paragraph" w:styleId="Bezproreda">
    <w:name w:val="No Spacing"/>
    <w:uiPriority w:val="1"/>
    <w:qFormat/>
    <w:rsid w:val="007E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1</cp:revision>
  <dcterms:created xsi:type="dcterms:W3CDTF">2018-05-07T11:59:00Z</dcterms:created>
  <dcterms:modified xsi:type="dcterms:W3CDTF">2018-05-07T12:00:00Z</dcterms:modified>
</cp:coreProperties>
</file>